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CA" w:rsidRPr="00B749E8" w:rsidRDefault="00726FCA" w:rsidP="00726FCA">
      <w:pPr>
        <w:widowControl/>
        <w:adjustRightInd w:val="0"/>
        <w:snapToGrid w:val="0"/>
        <w:spacing w:line="560" w:lineRule="exact"/>
        <w:ind w:leftChars="1" w:left="639" w:hangingChars="199" w:hanging="637"/>
        <w:rPr>
          <w:rFonts w:ascii="黑体" w:eastAsia="黑体" w:hAnsi="黑体" w:hint="eastAsia"/>
          <w:sz w:val="32"/>
          <w:szCs w:val="32"/>
        </w:rPr>
      </w:pPr>
      <w:r w:rsidRPr="00B749E8">
        <w:rPr>
          <w:rFonts w:ascii="黑体" w:eastAsia="黑体" w:hAnsi="黑体" w:hint="eastAsia"/>
          <w:sz w:val="32"/>
          <w:szCs w:val="32"/>
        </w:rPr>
        <w:t>附件1</w:t>
      </w:r>
    </w:p>
    <w:p w:rsidR="00726FCA" w:rsidRPr="00B749E8" w:rsidRDefault="00726FCA" w:rsidP="00726FCA">
      <w:pPr>
        <w:widowControl/>
        <w:adjustRightInd w:val="0"/>
        <w:snapToGrid w:val="0"/>
        <w:spacing w:beforeLines="100" w:before="312" w:afterLines="100" w:after="312" w:line="560" w:lineRule="exact"/>
        <w:ind w:leftChars="1" w:left="721" w:hangingChars="199" w:hanging="719"/>
        <w:jc w:val="center"/>
        <w:rPr>
          <w:rFonts w:ascii="仿宋" w:eastAsia="仿宋" w:hAnsi="仿宋"/>
          <w:b/>
          <w:sz w:val="36"/>
          <w:szCs w:val="36"/>
        </w:rPr>
      </w:pPr>
      <w:bookmarkStart w:id="0" w:name="_GoBack"/>
      <w:r w:rsidRPr="00B749E8">
        <w:rPr>
          <w:rFonts w:ascii="仿宋" w:eastAsia="仿宋" w:hAnsi="仿宋" w:hint="eastAsia"/>
          <w:b/>
          <w:sz w:val="36"/>
          <w:szCs w:val="36"/>
        </w:rPr>
        <w:t>2021年全国一级造价工程师线上培训课程列表</w:t>
      </w:r>
      <w:bookmarkEnd w:id="0"/>
    </w:p>
    <w:tbl>
      <w:tblPr>
        <w:tblW w:w="9065" w:type="dxa"/>
        <w:jc w:val="center"/>
        <w:tblCellMar>
          <w:left w:w="0" w:type="dxa"/>
          <w:right w:w="0" w:type="dxa"/>
        </w:tblCellMar>
        <w:tblLook w:val="04A0" w:firstRow="1" w:lastRow="0" w:firstColumn="1" w:lastColumn="0" w:noHBand="0" w:noVBand="1"/>
      </w:tblPr>
      <w:tblGrid>
        <w:gridCol w:w="731"/>
        <w:gridCol w:w="6774"/>
        <w:gridCol w:w="1560"/>
      </w:tblGrid>
      <w:tr w:rsidR="00726FCA" w:rsidTr="00290061">
        <w:trPr>
          <w:trHeight w:val="300"/>
          <w:tblHeade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课程名称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课程类型</w:t>
            </w:r>
          </w:p>
        </w:tc>
      </w:tr>
      <w:tr w:rsidR="00726FCA" w:rsidTr="00290061">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工程造价概论</w:t>
            </w:r>
          </w:p>
        </w:tc>
        <w:tc>
          <w:tcPr>
            <w:tcW w:w="1560"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技术经济类</w:t>
            </w:r>
          </w:p>
        </w:tc>
      </w:tr>
      <w:tr w:rsidR="00726FCA" w:rsidTr="00290061">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面向管理的微观经济学</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水利工程概估算编制注意事项</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项目经理应掌握的全过程跟踪审计业务实施要点级方法</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建设项目招标投标和合同审核办法</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p>
        </w:tc>
      </w:tr>
      <w:tr w:rsidR="00726FCA" w:rsidTr="00290061">
        <w:trPr>
          <w:trHeight w:val="30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医疗卫生基础设施建设的要点和趋势判断</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跨海大桥施工组织与定额测定方法研究</w:t>
            </w:r>
          </w:p>
        </w:tc>
        <w:tc>
          <w:tcPr>
            <w:tcW w:w="1560"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中英工程造价管理体系比较</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管理类</w:t>
            </w: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全过程工程咨询价值管理与集成</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kern w:val="0"/>
                <w:sz w:val="28"/>
                <w:szCs w:val="28"/>
                <w:lang w:bidi="ar"/>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以投资控制为核心的全过程工程咨询</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kern w:val="0"/>
                <w:sz w:val="28"/>
                <w:szCs w:val="28"/>
                <w:lang w:bidi="ar"/>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察势者明，趋势者智——解读工程造价改革</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kern w:val="0"/>
                <w:sz w:val="28"/>
                <w:szCs w:val="28"/>
                <w:lang w:bidi="ar"/>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《工程造价改革方案》的认识与理解</w:t>
            </w:r>
          </w:p>
        </w:tc>
        <w:tc>
          <w:tcPr>
            <w:tcW w:w="1560"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kern w:val="0"/>
                <w:sz w:val="28"/>
                <w:szCs w:val="28"/>
                <w:lang w:bidi="ar"/>
              </w:rPr>
            </w:pPr>
          </w:p>
        </w:tc>
      </w:tr>
      <w:tr w:rsidR="00726FCA" w:rsidTr="00290061">
        <w:trPr>
          <w:trHeight w:val="69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工程咨询企业通过并购重组实现流程再造提升全过程工程咨询服务能力</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新基建与PPP</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新基建的重点难点及工程咨询企业的机遇和任务</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疫情防控常态化下的企业生存与发展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17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员工激励与薪酬设计</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互联网商业模式创新与案例赏析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库存管理与控制</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企业并购整合理论与案例分析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采购及供应商管理</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决策理论模型与方法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依托期货市场实现购销业务模式转型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知识产权的管理与运用</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疫情下的中国宏观经济分析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管理沟通与领导力</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企业生产运营管理</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管理学原理</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人力资源管理的六个关键环节</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供应链管理</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物流管理基础知识与应用案例赏析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管理中的沟通艺术及方法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管理中的激励理论与实务</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领导科学与艺术</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全过程工程咨询服务合同示范文本</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hint="eastAsia"/>
                <w:color w:val="000000"/>
                <w:kern w:val="0"/>
                <w:sz w:val="28"/>
                <w:szCs w:val="28"/>
                <w:lang w:bidi="ar"/>
              </w:rPr>
            </w:pPr>
            <w:r>
              <w:rPr>
                <w:rFonts w:ascii="仿宋" w:eastAsia="仿宋" w:hAnsi="仿宋" w:cs="仿宋" w:hint="eastAsia"/>
                <w:color w:val="000000"/>
                <w:kern w:val="0"/>
                <w:sz w:val="28"/>
                <w:szCs w:val="28"/>
                <w:lang w:bidi="ar"/>
              </w:rPr>
              <w:t>法律及</w:t>
            </w:r>
          </w:p>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合同类</w:t>
            </w:r>
          </w:p>
        </w:tc>
      </w:tr>
      <w:tr w:rsidR="00726FCA" w:rsidTr="00290061">
        <w:trPr>
          <w:trHeight w:val="69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36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最高院施工合同司法解释（二）促进工程造价咨询行业发展的六大亮点</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37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造价工程师应掌握的工程造价相关最新法律条款解读</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BIM技术在工程在施工过程造价控制中的应用</w:t>
            </w:r>
          </w:p>
        </w:tc>
        <w:tc>
          <w:tcPr>
            <w:tcW w:w="1560" w:type="dxa"/>
            <w:vMerge w:val="restart"/>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信息类</w:t>
            </w: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企业资源计划系统（ERP）的原理与方法</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BIM在垃圾焚烧发电项目的应用</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数字化建造技术在全过程咨询中的实现路径及案例研讨</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基于价值链模型的互联网思维体系</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企业管理中的数据搜集方法</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咨询业数字化的本质与转型路径</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数字化转型和全过程工程咨询背景下的思考</w:t>
            </w:r>
          </w:p>
        </w:tc>
        <w:tc>
          <w:tcPr>
            <w:tcW w:w="1560"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十九大以来中国经济形势分析</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综合类</w:t>
            </w: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工业4.0与中国制造2025</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经济内循环的内涵特征及发展路径</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财政机关公文写作方法与技巧</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国家创新驱动发展战略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从“制造大国”走向“制造强国”</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新型城镇化实践与发展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中国新型工业化与统筹城乡发展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54</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国家治理体系和治理能力现代化</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55</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财政廉政建设</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56</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财政违法违规警示教育</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57</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职业素养与工匠精神</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58</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传统文化与职工礼仪修养</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59</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传统文化与职工素质提升</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60</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新时代专业技术人员新理念素养提升</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如何成为优秀职业人</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造价工程师的思维边界</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工程造价宏观政策变化与常见争议解决</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bl>
    <w:p w:rsidR="00726FCA" w:rsidRDefault="00726FCA" w:rsidP="00726FCA">
      <w:pPr>
        <w:widowControl/>
        <w:adjustRightInd w:val="0"/>
        <w:snapToGrid w:val="0"/>
        <w:spacing w:line="560" w:lineRule="exact"/>
        <w:ind w:firstLine="709"/>
        <w:jc w:val="left"/>
        <w:rPr>
          <w:rFonts w:ascii="仿宋" w:eastAsia="仿宋" w:hAnsi="仿宋" w:cs="宋体"/>
          <w:color w:val="000000"/>
          <w:kern w:val="0"/>
          <w:sz w:val="32"/>
          <w:szCs w:val="32"/>
        </w:rPr>
        <w:sectPr w:rsidR="00726FCA" w:rsidSect="00777347">
          <w:footerReference w:type="default" r:id="rId4"/>
          <w:pgSz w:w="11906" w:h="16838"/>
          <w:pgMar w:top="1440" w:right="1588" w:bottom="1440" w:left="1588" w:header="851" w:footer="992" w:gutter="0"/>
          <w:pgNumType w:fmt="numberInDash"/>
          <w:cols w:space="425"/>
          <w:docGrid w:type="lines" w:linePitch="312"/>
        </w:sectPr>
      </w:pPr>
    </w:p>
    <w:p w:rsidR="00726FCA" w:rsidRPr="00B749E8" w:rsidRDefault="00726FCA" w:rsidP="00726FCA">
      <w:pPr>
        <w:widowControl/>
        <w:adjustRightInd w:val="0"/>
        <w:snapToGrid w:val="0"/>
        <w:spacing w:line="560" w:lineRule="exact"/>
        <w:ind w:leftChars="1" w:left="639" w:hangingChars="199" w:hanging="637"/>
        <w:rPr>
          <w:rFonts w:ascii="黑体" w:eastAsia="黑体" w:hAnsi="黑体" w:hint="eastAsia"/>
          <w:sz w:val="32"/>
          <w:szCs w:val="32"/>
        </w:rPr>
      </w:pPr>
      <w:r w:rsidRPr="00B749E8">
        <w:rPr>
          <w:rFonts w:ascii="黑体" w:eastAsia="黑体" w:hAnsi="黑体" w:hint="eastAsia"/>
          <w:sz w:val="32"/>
          <w:szCs w:val="32"/>
        </w:rPr>
        <w:lastRenderedPageBreak/>
        <w:t>附件2</w:t>
      </w:r>
    </w:p>
    <w:p w:rsidR="00726FCA" w:rsidRPr="001D243E" w:rsidRDefault="00726FCA" w:rsidP="00726FCA">
      <w:pPr>
        <w:widowControl/>
        <w:adjustRightInd w:val="0"/>
        <w:snapToGrid w:val="0"/>
        <w:spacing w:beforeLines="100" w:before="312" w:afterLines="100" w:after="312" w:line="560" w:lineRule="exact"/>
        <w:ind w:leftChars="1" w:left="881" w:hangingChars="199" w:hanging="879"/>
        <w:jc w:val="center"/>
        <w:rPr>
          <w:rFonts w:ascii="仿宋" w:eastAsia="仿宋" w:hAnsi="仿宋" w:cs="仿宋"/>
          <w:b/>
          <w:color w:val="000000"/>
          <w:kern w:val="0"/>
          <w:sz w:val="44"/>
          <w:szCs w:val="44"/>
          <w:lang w:bidi="ar"/>
        </w:rPr>
      </w:pPr>
      <w:r w:rsidRPr="001D243E">
        <w:rPr>
          <w:rFonts w:ascii="仿宋" w:eastAsia="仿宋" w:hAnsi="仿宋" w:hint="eastAsia"/>
          <w:b/>
          <w:sz w:val="44"/>
          <w:szCs w:val="44"/>
        </w:rPr>
        <w:t>2021年二级造价工程师线上培训课程列表</w:t>
      </w:r>
    </w:p>
    <w:tbl>
      <w:tblPr>
        <w:tblW w:w="8711" w:type="dxa"/>
        <w:jc w:val="center"/>
        <w:tblCellMar>
          <w:left w:w="0" w:type="dxa"/>
          <w:right w:w="0" w:type="dxa"/>
        </w:tblCellMar>
        <w:tblLook w:val="04A0" w:firstRow="1" w:lastRow="0" w:firstColumn="1" w:lastColumn="0" w:noHBand="0" w:noVBand="1"/>
      </w:tblPr>
      <w:tblGrid>
        <w:gridCol w:w="776"/>
        <w:gridCol w:w="6426"/>
        <w:gridCol w:w="1509"/>
      </w:tblGrid>
      <w:tr w:rsidR="00726FCA" w:rsidTr="00290061">
        <w:trPr>
          <w:trHeight w:val="300"/>
          <w:tblHeade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序号</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课程名称</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课程类型</w:t>
            </w: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清单计价技巧</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技术经济类</w:t>
            </w: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工程项目建设程序</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工程造价概论</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十九大以来中国经济形势分析</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5</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新冠疫情事件的工期与费用索赔</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6</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经济内循环的内涵特征及发展路径</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7</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疫情下的中国宏观经济分析</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8</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水利工程概估算编制注意事项</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9</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跨海大桥施工组织与定额测定方法研究</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10</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BIM技术造价应用</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信息类</w:t>
            </w: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11</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BIM在幕墙工程上的应用</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12</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BIM技术在施工过程造价控制中的应用</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13</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知识产权的管理与运用</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hint="eastAsia"/>
                <w:color w:val="000000"/>
                <w:kern w:val="0"/>
                <w:sz w:val="28"/>
                <w:szCs w:val="28"/>
                <w:lang w:bidi="ar"/>
              </w:rPr>
            </w:pPr>
            <w:r>
              <w:rPr>
                <w:rFonts w:ascii="仿宋" w:eastAsia="仿宋" w:hAnsi="仿宋" w:cs="仿宋" w:hint="eastAsia"/>
                <w:color w:val="000000"/>
                <w:kern w:val="0"/>
                <w:sz w:val="28"/>
                <w:szCs w:val="28"/>
                <w:lang w:bidi="ar"/>
              </w:rPr>
              <w:t>法律及</w:t>
            </w:r>
          </w:p>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合同类</w:t>
            </w: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14</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建设项目招标投标和合同审核办法</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15</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新形势下如何做好工程造价咨询项目经理</w:t>
            </w:r>
          </w:p>
        </w:tc>
        <w:tc>
          <w:tcPr>
            <w:tcW w:w="1509"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r>
              <w:rPr>
                <w:rFonts w:ascii="仿宋" w:eastAsia="仿宋" w:hAnsi="仿宋" w:cs="仿宋" w:hint="eastAsia"/>
                <w:color w:val="000000"/>
                <w:sz w:val="28"/>
                <w:szCs w:val="28"/>
              </w:rPr>
              <w:t>管理类</w:t>
            </w: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16</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工程造价咨询项目经理的基本能力及素质</w:t>
            </w:r>
          </w:p>
        </w:tc>
        <w:tc>
          <w:tcPr>
            <w:tcW w:w="1509" w:type="dxa"/>
            <w:vMerge/>
            <w:tcBorders>
              <w:left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00"/>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17</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工程造价项目经理岗位职责、工作要点和知识拓展</w:t>
            </w:r>
          </w:p>
        </w:tc>
        <w:tc>
          <w:tcPr>
            <w:tcW w:w="1509"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18</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新时代专业技术人员新理念素养提升</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综合类</w:t>
            </w: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19</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造价工程师的思维边界</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20</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工业4.0与中国制造2025</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21</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Excel在财务中的应用案例精讲（高级）</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22</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PPT工作报告设计</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23</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财政机关公文写作方法与技巧</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24</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用思维导图点亮你的生活和工作</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25</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职业素养与工匠精神</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26</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传统文化与职工礼仪修养</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27</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传统文化与职工素质提升</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28</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如何成为优秀职业人</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29</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财政廉政建设</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r w:rsidR="00726FCA" w:rsidTr="00290061">
        <w:trPr>
          <w:trHeight w:val="345"/>
          <w:jc w:val="center"/>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30</w:t>
            </w:r>
          </w:p>
        </w:tc>
        <w:tc>
          <w:tcPr>
            <w:tcW w:w="6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财政违法违规警示教育</w:t>
            </w:r>
          </w:p>
        </w:tc>
        <w:tc>
          <w:tcPr>
            <w:tcW w:w="15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26FCA" w:rsidRDefault="00726FCA" w:rsidP="00290061">
            <w:pPr>
              <w:jc w:val="center"/>
              <w:rPr>
                <w:rFonts w:ascii="仿宋" w:eastAsia="仿宋" w:hAnsi="仿宋" w:cs="仿宋"/>
                <w:color w:val="000000"/>
                <w:sz w:val="28"/>
                <w:szCs w:val="28"/>
              </w:rPr>
            </w:pPr>
          </w:p>
        </w:tc>
      </w:tr>
    </w:tbl>
    <w:p w:rsidR="00726FCA" w:rsidRPr="00933E43" w:rsidRDefault="00726FCA" w:rsidP="00726FCA">
      <w:pPr>
        <w:widowControl/>
        <w:adjustRightInd w:val="0"/>
        <w:snapToGrid w:val="0"/>
        <w:spacing w:line="560" w:lineRule="exact"/>
        <w:ind w:leftChars="1" w:left="639" w:hangingChars="199" w:hanging="637"/>
        <w:rPr>
          <w:rFonts w:ascii="仿宋" w:eastAsia="仿宋" w:hAnsi="仿宋" w:cs="宋体"/>
          <w:color w:val="000000"/>
          <w:kern w:val="0"/>
          <w:sz w:val="32"/>
          <w:szCs w:val="32"/>
        </w:rPr>
      </w:pPr>
    </w:p>
    <w:p w:rsidR="00F757B7" w:rsidRPr="00726FCA" w:rsidRDefault="00F757B7">
      <w:pPr>
        <w:rPr>
          <w:rFonts w:hint="eastAsia"/>
        </w:rPr>
      </w:pPr>
    </w:p>
    <w:sectPr w:rsidR="00F757B7" w:rsidRPr="00726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47" w:rsidRPr="00777347" w:rsidRDefault="00726FCA" w:rsidP="00B96CBD">
    <w:pPr>
      <w:ind w:firstLineChars="100" w:firstLine="280"/>
      <w:jc w:val="right"/>
      <w:rPr>
        <w:rFonts w:ascii="宋体" w:hAnsi="宋体"/>
        <w:sz w:val="28"/>
        <w:szCs w:val="28"/>
      </w:rPr>
    </w:pPr>
    <w:r w:rsidRPr="00777347">
      <w:rPr>
        <w:rFonts w:ascii="宋体" w:hAnsi="宋体"/>
        <w:sz w:val="28"/>
        <w:szCs w:val="28"/>
      </w:rPr>
      <w:fldChar w:fldCharType="begin"/>
    </w:r>
    <w:r w:rsidRPr="00777347">
      <w:rPr>
        <w:rFonts w:ascii="宋体" w:hAnsi="宋体"/>
        <w:sz w:val="28"/>
        <w:szCs w:val="28"/>
      </w:rPr>
      <w:instrText>PAGE   \* MERGEFORMAT</w:instrText>
    </w:r>
    <w:r w:rsidRPr="00777347">
      <w:rPr>
        <w:rFonts w:ascii="宋体" w:hAnsi="宋体"/>
        <w:sz w:val="28"/>
        <w:szCs w:val="28"/>
      </w:rPr>
      <w:fldChar w:fldCharType="separate"/>
    </w:r>
    <w:r w:rsidRPr="00726FCA">
      <w:rPr>
        <w:rFonts w:ascii="宋体" w:hAnsi="宋体"/>
        <w:noProof/>
        <w:sz w:val="28"/>
        <w:szCs w:val="28"/>
        <w:lang w:val="zh-CN"/>
      </w:rPr>
      <w:t>-</w:t>
    </w:r>
    <w:r>
      <w:rPr>
        <w:rFonts w:ascii="宋体" w:hAnsi="宋体"/>
        <w:noProof/>
        <w:sz w:val="28"/>
        <w:szCs w:val="28"/>
      </w:rPr>
      <w:t xml:space="preserve"> 1 -</w:t>
    </w:r>
    <w:r w:rsidRPr="00777347">
      <w:rPr>
        <w:rFonts w:ascii="宋体" w:hAnsi="宋体"/>
        <w:sz w:val="28"/>
        <w:szCs w:val="28"/>
      </w:rPr>
      <w:fldChar w:fldCharType="end"/>
    </w:r>
    <w:r w:rsidRPr="00777347">
      <w:rPr>
        <w:rFonts w:ascii="宋体" w:hAnsi="宋体" w:hint="eastAsia"/>
        <w:sz w:val="28"/>
        <w:szCs w:val="28"/>
      </w:rPr>
      <w:t xml:space="preserve">  </w:t>
    </w:r>
  </w:p>
  <w:p w:rsidR="00777347" w:rsidRDefault="00726FC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AD"/>
    <w:rsid w:val="000031FF"/>
    <w:rsid w:val="00076201"/>
    <w:rsid w:val="000A7C3D"/>
    <w:rsid w:val="002269AD"/>
    <w:rsid w:val="00273320"/>
    <w:rsid w:val="005B2ADD"/>
    <w:rsid w:val="005E068D"/>
    <w:rsid w:val="006C66FD"/>
    <w:rsid w:val="00724C0B"/>
    <w:rsid w:val="00726FCA"/>
    <w:rsid w:val="0079479A"/>
    <w:rsid w:val="00870622"/>
    <w:rsid w:val="008D4127"/>
    <w:rsid w:val="009B751C"/>
    <w:rsid w:val="009D0B84"/>
    <w:rsid w:val="00A60FF8"/>
    <w:rsid w:val="00A86BE1"/>
    <w:rsid w:val="00AA5C62"/>
    <w:rsid w:val="00AF74F9"/>
    <w:rsid w:val="00D528D9"/>
    <w:rsid w:val="00EA271E"/>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0CE45-8622-46BF-A441-457E7C1C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F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6FCA"/>
    <w:pPr>
      <w:tabs>
        <w:tab w:val="center" w:pos="4153"/>
        <w:tab w:val="right" w:pos="8306"/>
      </w:tabs>
      <w:snapToGrid w:val="0"/>
      <w:jc w:val="left"/>
    </w:pPr>
    <w:rPr>
      <w:sz w:val="18"/>
      <w:szCs w:val="18"/>
    </w:rPr>
  </w:style>
  <w:style w:type="character" w:customStyle="1" w:styleId="Char">
    <w:name w:val="页脚 Char"/>
    <w:basedOn w:val="a0"/>
    <w:link w:val="a3"/>
    <w:uiPriority w:val="99"/>
    <w:rsid w:val="00726FC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Company>Organization</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2021-03-10T02:24:00Z</dcterms:created>
  <dcterms:modified xsi:type="dcterms:W3CDTF">2021-03-10T02:26:00Z</dcterms:modified>
</cp:coreProperties>
</file>