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827" w:tblpY="547"/>
        <w:tblOverlap w:val="never"/>
        <w:tblW w:w="15240" w:type="dxa"/>
        <w:tblInd w:w="0" w:type="dxa"/>
        <w:tblLayout w:type="fixed"/>
        <w:tblCellMar>
          <w:top w:w="0" w:type="dxa"/>
          <w:left w:w="108" w:type="dxa"/>
          <w:bottom w:w="0" w:type="dxa"/>
          <w:right w:w="108" w:type="dxa"/>
        </w:tblCellMar>
      </w:tblPr>
      <w:tblGrid>
        <w:gridCol w:w="708"/>
        <w:gridCol w:w="850"/>
        <w:gridCol w:w="1105"/>
        <w:gridCol w:w="2885"/>
        <w:gridCol w:w="1235"/>
        <w:gridCol w:w="848"/>
        <w:gridCol w:w="591"/>
        <w:gridCol w:w="851"/>
        <w:gridCol w:w="838"/>
        <w:gridCol w:w="15"/>
        <w:gridCol w:w="2974"/>
        <w:gridCol w:w="2319"/>
        <w:gridCol w:w="15"/>
        <w:gridCol w:w="6"/>
      </w:tblGrid>
      <w:tr>
        <w:tblPrEx>
          <w:tblCellMar>
            <w:top w:w="0" w:type="dxa"/>
            <w:left w:w="108" w:type="dxa"/>
            <w:bottom w:w="0" w:type="dxa"/>
            <w:right w:w="108" w:type="dxa"/>
          </w:tblCellMar>
        </w:tblPrEx>
        <w:trPr>
          <w:trHeight w:val="930" w:hRule="atLeast"/>
        </w:trPr>
        <w:tc>
          <w:tcPr>
            <w:tcW w:w="15240" w:type="dxa"/>
            <w:gridSpan w:val="14"/>
            <w:tcBorders>
              <w:top w:val="nil"/>
              <w:left w:val="nil"/>
              <w:bottom w:val="nil"/>
              <w:right w:val="nil"/>
            </w:tcBorders>
            <w:shd w:val="clear" w:color="000000" w:fill="FFFFFF"/>
            <w:vAlign w:val="center"/>
          </w:tcPr>
          <w:p>
            <w:pPr>
              <w:widowControl/>
              <w:jc w:val="center"/>
              <w:rPr>
                <w:rFonts w:ascii="宋体" w:hAnsi="宋体" w:cs="宋体"/>
                <w:b/>
                <w:bCs/>
                <w:kern w:val="0"/>
                <w:sz w:val="44"/>
                <w:szCs w:val="44"/>
              </w:rPr>
            </w:pPr>
            <w:r>
              <w:rPr>
                <w:sz w:val="44"/>
                <w:szCs w:val="44"/>
              </w:rPr>
              <mc:AlternateContent>
                <mc:Choice Requires="wps">
                  <w:drawing>
                    <wp:anchor distT="0" distB="0" distL="114300" distR="114300" simplePos="0" relativeHeight="251662336" behindDoc="0" locked="0" layoutInCell="1" allowOverlap="1">
                      <wp:simplePos x="0" y="0"/>
                      <wp:positionH relativeFrom="column">
                        <wp:posOffset>-230505</wp:posOffset>
                      </wp:positionH>
                      <wp:positionV relativeFrom="paragraph">
                        <wp:posOffset>-605155</wp:posOffset>
                      </wp:positionV>
                      <wp:extent cx="1618615" cy="514985"/>
                      <wp:effectExtent l="0" t="0" r="635" b="18415"/>
                      <wp:wrapNone/>
                      <wp:docPr id="5" name="文本框 5"/>
                      <wp:cNvGraphicFramePr/>
                      <a:graphic xmlns:a="http://schemas.openxmlformats.org/drawingml/2006/main">
                        <a:graphicData uri="http://schemas.microsoft.com/office/word/2010/wordprocessingShape">
                          <wps:wsp>
                            <wps:cNvSpPr txBox="1"/>
                            <wps:spPr>
                              <a:xfrm>
                                <a:off x="1551305" y="4276725"/>
                                <a:ext cx="1618615" cy="5149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6"/>
                                    <w:spacing w:line="560" w:lineRule="exact"/>
                                    <w:ind w:firstLine="707" w:firstLineChars="221"/>
                                    <w:rPr>
                                      <w:rFonts w:ascii="黑体" w:hAnsi="黑体" w:eastAsia="黑体" w:cs="宋体"/>
                                      <w:color w:val="000000"/>
                                      <w:sz w:val="32"/>
                                      <w:szCs w:val="32"/>
                                    </w:rPr>
                                  </w:pPr>
                                  <w:r>
                                    <w:rPr>
                                      <w:rFonts w:hint="eastAsia" w:ascii="黑体" w:hAnsi="黑体" w:eastAsia="黑体" w:cs="宋体"/>
                                      <w:color w:val="000000"/>
                                      <w:sz w:val="32"/>
                                      <w:szCs w:val="32"/>
                                    </w:rPr>
                                    <w:t>附件</w:t>
                                  </w:r>
                                </w:p>
                                <w:p>
                                  <w:pPr>
                                    <w:jc w:val="lef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5pt;margin-top:-47.65pt;height:40.55pt;width:127.45pt;z-index:251662336;mso-width-relative:page;mso-height-relative:page;" fillcolor="#FFFFFF [3201]" filled="t" stroked="f" coordsize="21600,21600" o:gfxdata="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iHhrNYAAAALAQAADwAAAAAAAAABACAAAAAiAAAA&#10;ZHJzL2Rvd25yZXYueG1sUEsBAhQAFAAAAAgAh07iQMwHJCdCAgAATQQAAA4AAAAAAAAAAQAgAAAA&#10;JQEAAGRycy9lMm9Eb2MueG1sUEsFBgAAAAAGAAYAWQEAANkFAAAAAA==&#10;">
                      <v:fill on="t" focussize="0,0"/>
                      <v:stroke on="f" weight="0.5pt"/>
                      <v:imagedata o:title=""/>
                      <o:lock v:ext="edit" aspectratio="f"/>
                      <v:textbox>
                        <w:txbxContent>
                          <w:p>
                            <w:pPr>
                              <w:pStyle w:val="6"/>
                              <w:spacing w:line="560" w:lineRule="exact"/>
                              <w:ind w:firstLine="707" w:firstLineChars="221"/>
                              <w:rPr>
                                <w:rFonts w:ascii="黑体" w:hAnsi="黑体" w:eastAsia="黑体" w:cs="宋体"/>
                                <w:color w:val="000000"/>
                                <w:sz w:val="32"/>
                                <w:szCs w:val="32"/>
                              </w:rPr>
                            </w:pPr>
                            <w:r>
                              <w:rPr>
                                <w:rFonts w:hint="eastAsia" w:ascii="黑体" w:hAnsi="黑体" w:eastAsia="黑体" w:cs="宋体"/>
                                <w:color w:val="000000"/>
                                <w:sz w:val="32"/>
                                <w:szCs w:val="32"/>
                              </w:rPr>
                              <w:t>附件</w:t>
                            </w:r>
                          </w:p>
                          <w:p>
                            <w:pPr>
                              <w:jc w:val="left"/>
                            </w:pPr>
                          </w:p>
                        </w:txbxContent>
                      </v:textbox>
                    </v:shape>
                  </w:pict>
                </mc:Fallback>
              </mc:AlternateContent>
            </w:r>
            <w:r>
              <w:rPr>
                <w:rFonts w:hint="eastAsia" w:ascii="宋体" w:hAnsi="宋体" w:cs="宋体"/>
                <w:b/>
                <w:bCs/>
                <w:kern w:val="0"/>
                <w:sz w:val="44"/>
                <w:szCs w:val="44"/>
              </w:rPr>
              <w:t>内蒙古自治区工程造价咨询企业信用评价标准</w:t>
            </w:r>
          </w:p>
        </w:tc>
      </w:tr>
      <w:tr>
        <w:tblPrEx>
          <w:tblCellMar>
            <w:top w:w="0" w:type="dxa"/>
            <w:left w:w="108" w:type="dxa"/>
            <w:bottom w:w="0" w:type="dxa"/>
            <w:right w:w="108" w:type="dxa"/>
          </w:tblCellMar>
        </w:tblPrEx>
        <w:trPr>
          <w:gridAfter w:val="1"/>
          <w:wAfter w:w="6" w:type="dxa"/>
          <w:trHeight w:val="900" w:hRule="atLeast"/>
        </w:trPr>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一级指标</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2"/>
              </w:rPr>
            </w:pPr>
            <w:r>
              <w:rPr>
                <w:rFonts w:hint="eastAsia" w:ascii="宋体" w:hAnsi="宋体" w:cs="宋体"/>
                <w:b/>
                <w:bCs/>
                <w:kern w:val="0"/>
                <w:sz w:val="22"/>
              </w:rPr>
              <w:t>二级指标</w:t>
            </w:r>
          </w:p>
        </w:tc>
        <w:tc>
          <w:tcPr>
            <w:tcW w:w="11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三级</w:t>
            </w:r>
          </w:p>
          <w:p>
            <w:pPr>
              <w:widowControl/>
              <w:jc w:val="center"/>
              <w:rPr>
                <w:rFonts w:ascii="宋体" w:hAnsi="宋体" w:cs="宋体"/>
                <w:b/>
                <w:bCs/>
                <w:kern w:val="0"/>
                <w:sz w:val="22"/>
              </w:rPr>
            </w:pPr>
            <w:r>
              <w:rPr>
                <w:rFonts w:hint="eastAsia" w:ascii="宋体" w:hAnsi="宋体" w:cs="宋体"/>
                <w:b/>
                <w:bCs/>
                <w:kern w:val="0"/>
                <w:sz w:val="22"/>
              </w:rPr>
              <w:t>指标</w:t>
            </w: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评价标准</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计算公式</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得分限额</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得分</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扣分限 额</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扣分</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说明</w:t>
            </w: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right="-71" w:rightChars="-34"/>
              <w:jc w:val="center"/>
              <w:rPr>
                <w:rFonts w:ascii="宋体" w:hAnsi="宋体" w:cs="宋体"/>
                <w:b/>
                <w:bCs/>
                <w:kern w:val="0"/>
                <w:sz w:val="22"/>
              </w:rPr>
            </w:pPr>
            <w:r>
              <w:rPr>
                <w:rFonts w:hint="eastAsia" w:ascii="宋体" w:hAnsi="宋体" w:cs="宋体"/>
                <w:b/>
                <w:bCs/>
                <w:kern w:val="0"/>
                <w:sz w:val="22"/>
              </w:rPr>
              <w:t>数据来源</w:t>
            </w:r>
          </w:p>
        </w:tc>
      </w:tr>
      <w:tr>
        <w:tblPrEx>
          <w:tblCellMar>
            <w:top w:w="0" w:type="dxa"/>
            <w:left w:w="108" w:type="dxa"/>
            <w:bottom w:w="0" w:type="dxa"/>
            <w:right w:w="108" w:type="dxa"/>
          </w:tblCellMar>
        </w:tblPrEx>
        <w:trPr>
          <w:gridAfter w:val="1"/>
          <w:wAfter w:w="6" w:type="dxa"/>
          <w:trHeight w:val="705"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w:t>
            </w:r>
          </w:p>
          <w:p>
            <w:pPr>
              <w:widowControl/>
              <w:jc w:val="center"/>
              <w:rPr>
                <w:rFonts w:ascii="宋体" w:hAnsi="宋体" w:cs="宋体"/>
                <w:kern w:val="0"/>
                <w:sz w:val="22"/>
              </w:rPr>
            </w:pPr>
            <w:r>
              <w:rPr>
                <w:rFonts w:hint="eastAsia" w:ascii="宋体" w:hAnsi="宋体" w:cs="宋体"/>
                <w:kern w:val="0"/>
                <w:sz w:val="22"/>
              </w:rPr>
              <w:t>基本   情况</w:t>
            </w:r>
          </w:p>
        </w:tc>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w:t>
            </w:r>
          </w:p>
          <w:p>
            <w:pPr>
              <w:widowControl/>
              <w:jc w:val="center"/>
              <w:rPr>
                <w:rFonts w:ascii="宋体" w:hAnsi="宋体" w:cs="宋体"/>
                <w:kern w:val="0"/>
                <w:sz w:val="20"/>
                <w:szCs w:val="20"/>
              </w:rPr>
            </w:pPr>
            <w:r>
              <w:rPr>
                <w:rFonts w:hint="eastAsia" w:ascii="宋体" w:hAnsi="宋体" w:cs="宋体"/>
                <w:kern w:val="0"/>
                <w:sz w:val="20"/>
                <w:szCs w:val="20"/>
              </w:rPr>
              <w:t>人员</w:t>
            </w:r>
          </w:p>
          <w:p>
            <w:pPr>
              <w:widowControl/>
              <w:jc w:val="center"/>
              <w:rPr>
                <w:rFonts w:ascii="宋体" w:hAnsi="宋体" w:cs="宋体"/>
                <w:kern w:val="0"/>
                <w:sz w:val="20"/>
                <w:szCs w:val="20"/>
              </w:rPr>
            </w:pPr>
            <w:r>
              <w:rPr>
                <w:rFonts w:hint="eastAsia" w:ascii="宋体" w:hAnsi="宋体" w:cs="宋体"/>
                <w:kern w:val="0"/>
                <w:sz w:val="20"/>
                <w:szCs w:val="20"/>
              </w:rPr>
              <w:t>结构</w:t>
            </w:r>
          </w:p>
        </w:tc>
        <w:tc>
          <w:tcPr>
            <w:tcW w:w="11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1.1.1</w:t>
            </w:r>
          </w:p>
          <w:p>
            <w:pPr>
              <w:widowControl/>
              <w:jc w:val="center"/>
              <w:rPr>
                <w:rFonts w:ascii="宋体" w:hAnsi="宋体" w:cs="宋体"/>
                <w:kern w:val="0"/>
                <w:sz w:val="20"/>
                <w:szCs w:val="20"/>
              </w:rPr>
            </w:pPr>
            <w:r>
              <w:rPr>
                <w:rFonts w:hint="eastAsia" w:ascii="宋体" w:hAnsi="宋体" w:cs="宋体"/>
                <w:kern w:val="0"/>
                <w:sz w:val="20"/>
                <w:szCs w:val="20"/>
              </w:rPr>
              <w:t>技术负责人</w:t>
            </w: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具有一级注册造价工程师职业资格</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1</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6" w:type="dxa"/>
          <w:trHeight w:val="1995"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具有一级造价工程师以外的与造价相关的其它职业资格或工程类、经济类高级职称</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1</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与造价相关的其它职业资格是指咨询师、建造师、建筑师、监理工程师、规划师、勘察设计注册师(注册结构工程师、注册土木工程师、注册电气工程师等)、注册会计师、资产评估师、房地产估价师、职业律师等相关职业资格</w:t>
            </w: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1.造价工程师管理系统</w:t>
            </w:r>
            <w:r>
              <w:rPr>
                <w:rFonts w:hint="eastAsia" w:ascii="宋体" w:hAnsi="宋体" w:cs="宋体"/>
                <w:kern w:val="0"/>
                <w:sz w:val="20"/>
                <w:szCs w:val="20"/>
              </w:rPr>
              <w:br w:type="textWrapping"/>
            </w:r>
            <w:r>
              <w:rPr>
                <w:rFonts w:hint="eastAsia" w:ascii="宋体" w:hAnsi="宋体" w:cs="宋体"/>
                <w:kern w:val="0"/>
                <w:sz w:val="20"/>
                <w:szCs w:val="20"/>
              </w:rPr>
              <w:t>2.造价工程师管理系统没有的由企业自行申报</w:t>
            </w:r>
          </w:p>
        </w:tc>
      </w:tr>
      <w:tr>
        <w:tblPrEx>
          <w:tblCellMar>
            <w:top w:w="0" w:type="dxa"/>
            <w:left w:w="108" w:type="dxa"/>
            <w:bottom w:w="0" w:type="dxa"/>
            <w:right w:w="108" w:type="dxa"/>
          </w:tblCellMar>
        </w:tblPrEx>
        <w:trPr>
          <w:gridAfter w:val="1"/>
          <w:wAfter w:w="6" w:type="dxa"/>
          <w:trHeight w:val="1324"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1.1.2                    注册造价工程师</w:t>
            </w: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每有1名一级注册造价工程师得1分</w:t>
            </w:r>
            <w:r>
              <w:rPr>
                <w:rFonts w:hint="eastAsia" w:ascii="宋体" w:hAnsi="宋体" w:cs="宋体"/>
                <w:kern w:val="0"/>
                <w:sz w:val="20"/>
                <w:szCs w:val="20"/>
              </w:rPr>
              <w:br w:type="textWrapping"/>
            </w:r>
            <w:r>
              <w:rPr>
                <w:rFonts w:hint="eastAsia" w:ascii="宋体" w:hAnsi="宋体" w:cs="宋体"/>
                <w:kern w:val="0"/>
                <w:sz w:val="20"/>
                <w:szCs w:val="20"/>
              </w:rPr>
              <w:t>每有1名二级注册造价工程师得0.5分</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1*X</w:t>
            </w:r>
            <w:r>
              <w:rPr>
                <w:rFonts w:ascii="Arial Narrow" w:hAnsi="Arial Narrow" w:cs="宋体"/>
                <w:kern w:val="0"/>
                <w:sz w:val="20"/>
                <w:szCs w:val="20"/>
                <w:vertAlign w:val="subscript"/>
              </w:rPr>
              <w:t>1</w:t>
            </w:r>
            <w:r>
              <w:rPr>
                <w:rFonts w:ascii="Arial Narrow" w:hAnsi="Arial Narrow" w:cs="宋体"/>
                <w:kern w:val="0"/>
                <w:sz w:val="20"/>
                <w:szCs w:val="20"/>
              </w:rPr>
              <w:t>+0.5*X</w:t>
            </w:r>
            <w:r>
              <w:rPr>
                <w:rFonts w:ascii="Arial Narrow" w:hAnsi="Arial Narrow" w:cs="宋体"/>
                <w:kern w:val="0"/>
                <w:sz w:val="20"/>
                <w:szCs w:val="20"/>
                <w:vertAlign w:val="subscript"/>
              </w:rPr>
              <w:t>2</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15</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“X</w:t>
            </w:r>
            <w:r>
              <w:rPr>
                <w:rFonts w:hint="eastAsia" w:ascii="宋体" w:hAnsi="宋体" w:cs="宋体"/>
                <w:kern w:val="0"/>
                <w:sz w:val="20"/>
                <w:szCs w:val="20"/>
                <w:vertAlign w:val="subscript"/>
              </w:rPr>
              <w:t>1</w:t>
            </w:r>
            <w:r>
              <w:rPr>
                <w:rFonts w:hint="eastAsia" w:ascii="宋体" w:hAnsi="宋体" w:cs="宋体"/>
                <w:kern w:val="0"/>
                <w:sz w:val="20"/>
                <w:szCs w:val="20"/>
              </w:rPr>
              <w:t>”指注册在该企业的一级注册造价工程师的人数,“X</w:t>
            </w:r>
            <w:r>
              <w:rPr>
                <w:rFonts w:hint="eastAsia" w:ascii="宋体" w:hAnsi="宋体" w:cs="宋体"/>
                <w:kern w:val="0"/>
                <w:sz w:val="20"/>
                <w:szCs w:val="20"/>
                <w:vertAlign w:val="subscript"/>
              </w:rPr>
              <w:t>2</w:t>
            </w:r>
            <w:r>
              <w:rPr>
                <w:rFonts w:hint="eastAsia" w:ascii="宋体" w:hAnsi="宋体" w:cs="宋体"/>
                <w:kern w:val="0"/>
                <w:sz w:val="20"/>
                <w:szCs w:val="20"/>
              </w:rPr>
              <w:t>”指注册在该企业的二级注册造价工程师的人数</w:t>
            </w: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造价工程师管理系统中自动获取</w:t>
            </w:r>
          </w:p>
        </w:tc>
      </w:tr>
      <w:tr>
        <w:tblPrEx>
          <w:tblCellMar>
            <w:top w:w="0" w:type="dxa"/>
            <w:left w:w="108" w:type="dxa"/>
            <w:bottom w:w="0" w:type="dxa"/>
            <w:right w:w="108" w:type="dxa"/>
          </w:tblCellMar>
        </w:tblPrEx>
        <w:trPr>
          <w:gridAfter w:val="1"/>
          <w:wAfter w:w="6" w:type="dxa"/>
          <w:trHeight w:val="706"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1.1.3</w:t>
            </w:r>
          </w:p>
          <w:p>
            <w:pPr>
              <w:widowControl/>
              <w:jc w:val="center"/>
              <w:rPr>
                <w:rFonts w:ascii="宋体" w:hAnsi="宋体" w:cs="宋体"/>
                <w:kern w:val="0"/>
                <w:sz w:val="20"/>
                <w:szCs w:val="20"/>
              </w:rPr>
            </w:pPr>
            <w:r>
              <w:rPr>
                <w:rFonts w:hint="eastAsia" w:ascii="宋体" w:hAnsi="宋体" w:cs="宋体"/>
                <w:kern w:val="0"/>
                <w:sz w:val="20"/>
                <w:szCs w:val="20"/>
              </w:rPr>
              <w:t xml:space="preserve">职称结构 </w:t>
            </w: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每有1名高级（及以上）职称人员得0.4分</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0.4*X</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2</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“X”为高级（及以上）职称的人员数量</w:t>
            </w:r>
          </w:p>
          <w:p>
            <w:pPr>
              <w:widowControl/>
              <w:jc w:val="left"/>
              <w:rPr>
                <w:rFonts w:ascii="宋体" w:hAnsi="宋体" w:cs="宋体"/>
                <w:kern w:val="0"/>
                <w:sz w:val="20"/>
                <w:szCs w:val="20"/>
              </w:rPr>
            </w:pPr>
            <w:r>
              <w:rPr>
                <w:rFonts w:hint="eastAsia" w:ascii="宋体" w:hAnsi="宋体" w:cs="宋体"/>
                <w:kern w:val="0"/>
                <w:sz w:val="20"/>
                <w:szCs w:val="20"/>
              </w:rPr>
              <w:t>高级职称指高级工程师、高级经济师、高级会计师等与造价相关的职称</w:t>
            </w: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从造价工程师管理系统、会员服务系统中自动导入，如导入数据与实际不符，由企业自行申报</w:t>
            </w:r>
          </w:p>
        </w:tc>
      </w:tr>
      <w:tr>
        <w:tblPrEx>
          <w:tblCellMar>
            <w:top w:w="0" w:type="dxa"/>
            <w:left w:w="108" w:type="dxa"/>
            <w:bottom w:w="0" w:type="dxa"/>
            <w:right w:w="108" w:type="dxa"/>
          </w:tblCellMar>
        </w:tblPrEx>
        <w:trPr>
          <w:gridAfter w:val="1"/>
          <w:wAfter w:w="6" w:type="dxa"/>
          <w:trHeight w:val="1125"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w:t>
            </w:r>
          </w:p>
          <w:p>
            <w:pPr>
              <w:widowControl/>
              <w:jc w:val="center"/>
              <w:rPr>
                <w:rFonts w:ascii="宋体" w:hAnsi="宋体" w:cs="宋体"/>
                <w:kern w:val="0"/>
                <w:sz w:val="20"/>
                <w:szCs w:val="20"/>
              </w:rPr>
            </w:pPr>
            <w:r>
              <w:rPr>
                <w:rFonts w:hint="eastAsia" w:ascii="宋体" w:hAnsi="宋体" w:cs="宋体"/>
                <w:kern w:val="0"/>
                <w:sz w:val="20"/>
                <w:szCs w:val="20"/>
              </w:rPr>
              <w:t>各类</w:t>
            </w:r>
          </w:p>
          <w:p>
            <w:pPr>
              <w:widowControl/>
              <w:jc w:val="center"/>
              <w:rPr>
                <w:rFonts w:ascii="宋体" w:hAnsi="宋体" w:cs="宋体"/>
                <w:kern w:val="0"/>
                <w:sz w:val="20"/>
                <w:szCs w:val="20"/>
              </w:rPr>
            </w:pPr>
            <w:r>
              <w:rPr>
                <w:rFonts w:hint="eastAsia" w:ascii="宋体" w:hAnsi="宋体" w:cs="宋体"/>
                <w:kern w:val="0"/>
                <w:sz w:val="20"/>
                <w:szCs w:val="20"/>
              </w:rPr>
              <w:t>组织</w:t>
            </w:r>
          </w:p>
        </w:tc>
        <w:tc>
          <w:tcPr>
            <w:tcW w:w="11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1.2.1</w:t>
            </w:r>
            <w:r>
              <w:rPr>
                <w:rFonts w:hint="eastAsia" w:ascii="宋体" w:hAnsi="宋体" w:cs="宋体"/>
                <w:kern w:val="0"/>
                <w:sz w:val="20"/>
                <w:szCs w:val="20"/>
              </w:rPr>
              <w:br w:type="textWrapping"/>
            </w:r>
            <w:r>
              <w:rPr>
                <w:rFonts w:hint="eastAsia" w:ascii="宋体" w:hAnsi="宋体" w:cs="宋体"/>
                <w:kern w:val="0"/>
                <w:sz w:val="20"/>
                <w:szCs w:val="20"/>
              </w:rPr>
              <w:t>党组织</w:t>
            </w: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党组织健全或党建活动正常</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3</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未建立党组织的，上一年度正常开展或参加党建活动的也可得分</w:t>
            </w: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6" w:type="dxa"/>
          <w:trHeight w:val="900"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1.2.2</w:t>
            </w:r>
            <w:r>
              <w:rPr>
                <w:rFonts w:hint="eastAsia" w:ascii="宋体" w:hAnsi="宋体" w:cs="宋体"/>
                <w:kern w:val="0"/>
                <w:sz w:val="20"/>
                <w:szCs w:val="20"/>
              </w:rPr>
              <w:br w:type="textWrapping"/>
            </w:r>
            <w:r>
              <w:rPr>
                <w:rFonts w:hint="eastAsia" w:ascii="宋体" w:hAnsi="宋体" w:cs="宋体"/>
                <w:kern w:val="0"/>
                <w:sz w:val="20"/>
                <w:szCs w:val="20"/>
              </w:rPr>
              <w:t>其它组织</w:t>
            </w: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有工会或妇联等组织，活动正常</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2</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未建立工会或妇联等组织的，上一年度正常开展相关活动的也可得分</w:t>
            </w: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6" w:type="dxa"/>
          <w:trHeight w:val="1125"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1.2.3</w:t>
            </w:r>
            <w:r>
              <w:rPr>
                <w:rFonts w:hint="eastAsia" w:ascii="宋体" w:hAnsi="宋体" w:cs="宋体"/>
                <w:kern w:val="0"/>
                <w:sz w:val="20"/>
                <w:szCs w:val="20"/>
              </w:rPr>
              <w:br w:type="textWrapping"/>
            </w:r>
            <w:r>
              <w:rPr>
                <w:rFonts w:hint="eastAsia" w:ascii="宋体" w:hAnsi="宋体" w:cs="宋体"/>
                <w:kern w:val="0"/>
                <w:sz w:val="20"/>
                <w:szCs w:val="20"/>
              </w:rPr>
              <w:t>个人会员</w:t>
            </w: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企业有省级以上造价协会个人会员的，每1名得0.2分</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0.2*X</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2</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“X”为省级以上造价协会个人会员数量</w:t>
            </w: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从会员服务系统中自动导入或企业自行填报，省级以上协会确认</w:t>
            </w:r>
          </w:p>
        </w:tc>
      </w:tr>
      <w:tr>
        <w:tblPrEx>
          <w:tblCellMar>
            <w:top w:w="0" w:type="dxa"/>
            <w:left w:w="108" w:type="dxa"/>
            <w:bottom w:w="0" w:type="dxa"/>
            <w:right w:w="108" w:type="dxa"/>
          </w:tblCellMar>
        </w:tblPrEx>
        <w:trPr>
          <w:gridAfter w:val="1"/>
          <w:wAfter w:w="6" w:type="dxa"/>
          <w:trHeight w:val="893"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2.</w:t>
            </w:r>
          </w:p>
          <w:p>
            <w:pPr>
              <w:widowControl/>
              <w:jc w:val="center"/>
              <w:rPr>
                <w:rFonts w:ascii="宋体" w:hAnsi="宋体" w:cs="宋体"/>
                <w:kern w:val="0"/>
                <w:sz w:val="22"/>
              </w:rPr>
            </w:pPr>
            <w:r>
              <w:rPr>
                <w:rFonts w:hint="eastAsia" w:ascii="宋体" w:hAnsi="宋体" w:cs="宋体"/>
                <w:kern w:val="0"/>
                <w:sz w:val="22"/>
              </w:rPr>
              <w:t>经营    管理</w:t>
            </w:r>
          </w:p>
        </w:tc>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2.1                     经营</w:t>
            </w:r>
          </w:p>
          <w:p>
            <w:pPr>
              <w:widowControl/>
              <w:jc w:val="center"/>
              <w:rPr>
                <w:rFonts w:ascii="宋体" w:hAnsi="宋体" w:cs="宋体"/>
                <w:kern w:val="0"/>
                <w:sz w:val="20"/>
                <w:szCs w:val="20"/>
              </w:rPr>
            </w:pPr>
            <w:r>
              <w:rPr>
                <w:rFonts w:hint="eastAsia" w:ascii="宋体" w:hAnsi="宋体" w:cs="宋体"/>
                <w:kern w:val="0"/>
                <w:sz w:val="20"/>
                <w:szCs w:val="20"/>
              </w:rPr>
              <w:t>能力</w:t>
            </w:r>
          </w:p>
        </w:tc>
        <w:tc>
          <w:tcPr>
            <w:tcW w:w="11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2.1.1                       营业收入</w:t>
            </w:r>
          </w:p>
        </w:tc>
        <w:tc>
          <w:tcPr>
            <w:tcW w:w="28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按地区排名评分，详见附件2《工程造价咨询企业营业收入及造价咨询业务收入评分表》</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0~4</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4</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1.营业收入=工程造价咨询业务收入+其它业务收入</w:t>
            </w:r>
            <w:r>
              <w:rPr>
                <w:rFonts w:hint="eastAsia" w:ascii="宋体" w:hAnsi="宋体" w:cs="宋体"/>
                <w:kern w:val="0"/>
                <w:sz w:val="20"/>
                <w:szCs w:val="20"/>
              </w:rPr>
              <w:br w:type="textWrapping"/>
            </w:r>
            <w:r>
              <w:rPr>
                <w:rFonts w:hint="eastAsia" w:ascii="宋体" w:hAnsi="宋体" w:cs="宋体"/>
                <w:kern w:val="0"/>
                <w:sz w:val="20"/>
                <w:szCs w:val="20"/>
              </w:rPr>
              <w:t>2.其它业务收入=招标代理业务收入+项目管理业务收入+工程咨询业务收入</w:t>
            </w:r>
            <w:r>
              <w:rPr>
                <w:rFonts w:hint="eastAsia" w:ascii="宋体" w:hAnsi="宋体" w:cs="宋体"/>
                <w:kern w:val="0"/>
                <w:sz w:val="20"/>
                <w:szCs w:val="20"/>
              </w:rPr>
              <w:br w:type="textWrapping"/>
            </w:r>
            <w:r>
              <w:rPr>
                <w:rFonts w:hint="eastAsia" w:ascii="宋体" w:hAnsi="宋体" w:cs="宋体"/>
                <w:kern w:val="0"/>
                <w:sz w:val="20"/>
                <w:szCs w:val="20"/>
              </w:rPr>
              <w:t>3.均采用上年度的年收入</w:t>
            </w:r>
          </w:p>
        </w:tc>
        <w:tc>
          <w:tcPr>
            <w:tcW w:w="233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根据国家“工程造价咨询统计报表制度”由信用评价系统从“工程造价咨询统计报表系统”导入企业上年度相关数据</w:t>
            </w:r>
          </w:p>
        </w:tc>
      </w:tr>
      <w:tr>
        <w:tblPrEx>
          <w:tblCellMar>
            <w:top w:w="0" w:type="dxa"/>
            <w:left w:w="108" w:type="dxa"/>
            <w:bottom w:w="0" w:type="dxa"/>
            <w:right w:w="108" w:type="dxa"/>
          </w:tblCellMar>
        </w:tblPrEx>
        <w:trPr>
          <w:gridAfter w:val="1"/>
          <w:wAfter w:w="6" w:type="dxa"/>
          <w:trHeight w:val="1300"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2.1.2</w:t>
            </w:r>
          </w:p>
          <w:p>
            <w:pPr>
              <w:widowControl/>
              <w:jc w:val="center"/>
              <w:rPr>
                <w:rFonts w:ascii="宋体" w:hAnsi="宋体" w:cs="宋体"/>
                <w:kern w:val="0"/>
                <w:sz w:val="20"/>
                <w:szCs w:val="20"/>
              </w:rPr>
            </w:pPr>
            <w:r>
              <w:rPr>
                <w:rFonts w:hint="eastAsia" w:ascii="宋体" w:hAnsi="宋体" w:cs="宋体"/>
                <w:kern w:val="0"/>
                <w:sz w:val="20"/>
                <w:szCs w:val="20"/>
              </w:rPr>
              <w:t>工程造价咨询业务收入</w:t>
            </w:r>
          </w:p>
        </w:tc>
        <w:tc>
          <w:tcPr>
            <w:tcW w:w="2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0~10</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10</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6" w:type="dxa"/>
          <w:trHeight w:val="706"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2.1                     经营</w:t>
            </w:r>
          </w:p>
          <w:p>
            <w:pPr>
              <w:widowControl/>
              <w:jc w:val="center"/>
              <w:rPr>
                <w:rFonts w:ascii="宋体" w:hAnsi="宋体" w:cs="宋体"/>
                <w:kern w:val="0"/>
                <w:sz w:val="20"/>
                <w:szCs w:val="20"/>
              </w:rPr>
            </w:pPr>
            <w:r>
              <w:rPr>
                <w:rFonts w:hint="eastAsia" w:ascii="宋体" w:hAnsi="宋体" w:cs="宋体"/>
                <w:kern w:val="0"/>
                <w:sz w:val="20"/>
                <w:szCs w:val="20"/>
              </w:rPr>
              <w:t>能力</w:t>
            </w:r>
          </w:p>
        </w:tc>
        <w:tc>
          <w:tcPr>
            <w:tcW w:w="11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2.1.3                          全员劳动生产率</w:t>
            </w: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企业全员劳动生产率每5万元得0.5分</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0.5*X/5</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4</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1.“X”指企业全员劳动生产率</w:t>
            </w:r>
            <w:r>
              <w:rPr>
                <w:rFonts w:hint="eastAsia" w:ascii="宋体" w:hAnsi="宋体" w:cs="宋体"/>
                <w:kern w:val="0"/>
                <w:sz w:val="20"/>
                <w:szCs w:val="20"/>
              </w:rPr>
              <w:br w:type="textWrapping"/>
            </w:r>
            <w:r>
              <w:rPr>
                <w:rFonts w:hint="eastAsia" w:ascii="宋体" w:hAnsi="宋体" w:cs="宋体"/>
                <w:kern w:val="0"/>
                <w:sz w:val="20"/>
                <w:szCs w:val="20"/>
              </w:rPr>
              <w:t>2.全员劳动生产率=上年营业收入合计/企业员工总人数</w:t>
            </w: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根据国家“工程造价咨询统计报表制度”由信用评价系统从“工程造价咨询统计报表系统”导入企业上年度相关数据自动计算</w:t>
            </w:r>
          </w:p>
        </w:tc>
      </w:tr>
      <w:tr>
        <w:tblPrEx>
          <w:tblCellMar>
            <w:top w:w="0" w:type="dxa"/>
            <w:left w:w="108" w:type="dxa"/>
            <w:bottom w:w="0" w:type="dxa"/>
            <w:right w:w="108" w:type="dxa"/>
          </w:tblCellMar>
        </w:tblPrEx>
        <w:trPr>
          <w:gridAfter w:val="1"/>
          <w:wAfter w:w="6" w:type="dxa"/>
          <w:trHeight w:val="915"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2.2                    管理</w:t>
            </w:r>
          </w:p>
          <w:p>
            <w:pPr>
              <w:widowControl/>
              <w:jc w:val="center"/>
              <w:rPr>
                <w:rFonts w:ascii="宋体" w:hAnsi="宋体" w:cs="宋体"/>
                <w:kern w:val="0"/>
                <w:sz w:val="20"/>
                <w:szCs w:val="20"/>
              </w:rPr>
            </w:pPr>
            <w:r>
              <w:rPr>
                <w:rFonts w:hint="eastAsia" w:ascii="宋体" w:hAnsi="宋体" w:cs="宋体"/>
                <w:kern w:val="0"/>
                <w:sz w:val="20"/>
                <w:szCs w:val="20"/>
              </w:rPr>
              <w:t>能力</w:t>
            </w:r>
          </w:p>
        </w:tc>
        <w:tc>
          <w:tcPr>
            <w:tcW w:w="11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2.2.1                       质量</w:t>
            </w:r>
          </w:p>
          <w:p>
            <w:pPr>
              <w:widowControl/>
              <w:jc w:val="center"/>
              <w:rPr>
                <w:rFonts w:ascii="宋体" w:hAnsi="宋体" w:cs="宋体"/>
                <w:kern w:val="0"/>
                <w:sz w:val="20"/>
                <w:szCs w:val="20"/>
              </w:rPr>
            </w:pPr>
            <w:r>
              <w:rPr>
                <w:rFonts w:hint="eastAsia" w:ascii="宋体" w:hAnsi="宋体" w:cs="宋体"/>
                <w:kern w:val="0"/>
                <w:sz w:val="20"/>
                <w:szCs w:val="20"/>
              </w:rPr>
              <w:t>管理</w:t>
            </w:r>
          </w:p>
          <w:p>
            <w:pPr>
              <w:widowControl/>
              <w:jc w:val="center"/>
              <w:rPr>
                <w:rFonts w:ascii="宋体" w:hAnsi="宋体" w:cs="宋体"/>
                <w:kern w:val="0"/>
                <w:sz w:val="20"/>
                <w:szCs w:val="20"/>
              </w:rPr>
            </w:pPr>
            <w:r>
              <w:rPr>
                <w:rFonts w:hint="eastAsia" w:ascii="宋体" w:hAnsi="宋体" w:cs="宋体"/>
                <w:kern w:val="0"/>
                <w:sz w:val="20"/>
                <w:szCs w:val="20"/>
              </w:rPr>
              <w:t>体系</w:t>
            </w: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企业有职业标准指南或自行编制的咨询业务操作指导规程、范本(模板)或作业指导书，得0.5</w:t>
            </w:r>
            <w:r>
              <w:rPr>
                <w:rFonts w:hint="eastAsia" w:ascii="等线 Light" w:hAnsi="等线 Light" w:eastAsia="等线 Light" w:cs="宋体"/>
                <w:kern w:val="0"/>
                <w:sz w:val="20"/>
                <w:szCs w:val="20"/>
              </w:rPr>
              <w:t>~</w:t>
            </w:r>
            <w:r>
              <w:rPr>
                <w:rFonts w:hint="eastAsia" w:ascii="宋体" w:hAnsi="宋体" w:cs="宋体"/>
                <w:kern w:val="0"/>
                <w:sz w:val="20"/>
                <w:szCs w:val="20"/>
              </w:rPr>
              <w:t>3分</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3</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3</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1</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根据职业标准或指南内容完整、规范、指导作用的程度，加0.5</w:t>
            </w:r>
            <w:r>
              <w:rPr>
                <w:rFonts w:hint="eastAsia" w:ascii="等线 Light" w:hAnsi="等线 Light" w:eastAsia="等线 Light" w:cs="宋体"/>
                <w:kern w:val="0"/>
                <w:sz w:val="20"/>
                <w:szCs w:val="20"/>
              </w:rPr>
              <w:t>~</w:t>
            </w:r>
            <w:r>
              <w:rPr>
                <w:rFonts w:hint="eastAsia" w:ascii="宋体" w:hAnsi="宋体" w:cs="宋体"/>
                <w:kern w:val="0"/>
                <w:sz w:val="20"/>
                <w:szCs w:val="20"/>
              </w:rPr>
              <w:t>3分，没有的扣1分</w:t>
            </w:r>
          </w:p>
        </w:tc>
        <w:tc>
          <w:tcPr>
            <w:tcW w:w="233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6" w:type="dxa"/>
          <w:trHeight w:val="2111"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企业有完善的质量管理制度和可行的质量奖惩办法，得0.5</w:t>
            </w:r>
            <w:r>
              <w:rPr>
                <w:rFonts w:hint="eastAsia" w:ascii="等线 Light" w:hAnsi="等线 Light" w:eastAsia="等线 Light" w:cs="宋体"/>
                <w:kern w:val="0"/>
                <w:sz w:val="20"/>
                <w:szCs w:val="20"/>
              </w:rPr>
              <w:t>~</w:t>
            </w:r>
            <w:r>
              <w:rPr>
                <w:rFonts w:hint="eastAsia" w:ascii="宋体" w:hAnsi="宋体" w:cs="宋体"/>
                <w:kern w:val="0"/>
                <w:sz w:val="20"/>
                <w:szCs w:val="20"/>
              </w:rPr>
              <w:t>2分</w:t>
            </w:r>
          </w:p>
          <w:p>
            <w:pPr>
              <w:widowControl/>
              <w:jc w:val="left"/>
              <w:rPr>
                <w:rFonts w:ascii="宋体" w:hAnsi="宋体" w:cs="宋体"/>
                <w:kern w:val="0"/>
                <w:sz w:val="20"/>
                <w:szCs w:val="20"/>
              </w:rPr>
            </w:pPr>
            <w:r>
              <w:rPr>
                <w:rFonts w:hint="eastAsia" w:ascii="宋体" w:hAnsi="宋体" w:cs="宋体"/>
                <w:kern w:val="0"/>
                <w:sz w:val="20"/>
                <w:szCs w:val="20"/>
              </w:rPr>
              <w:t>通过ISO质量管理体系认证，得1分</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0~3</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3</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1</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1.根据质量管理制度和奖惩办法完整、规范、操作性程度，加0.5</w:t>
            </w:r>
            <w:r>
              <w:rPr>
                <w:rFonts w:hint="eastAsia" w:ascii="等线 Light" w:hAnsi="等线 Light" w:eastAsia="等线 Light" w:cs="宋体"/>
                <w:kern w:val="0"/>
                <w:sz w:val="20"/>
                <w:szCs w:val="20"/>
              </w:rPr>
              <w:t>~</w:t>
            </w:r>
            <w:r>
              <w:rPr>
                <w:rFonts w:hint="eastAsia" w:ascii="宋体" w:hAnsi="宋体" w:cs="宋体"/>
                <w:kern w:val="0"/>
                <w:sz w:val="20"/>
                <w:szCs w:val="20"/>
              </w:rPr>
              <w:t>2分，没有或不完善或操作性不强的扣0.5</w:t>
            </w:r>
            <w:r>
              <w:rPr>
                <w:rFonts w:hint="eastAsia" w:ascii="等线 Light" w:hAnsi="等线 Light" w:eastAsia="等线 Light" w:cs="宋体"/>
                <w:kern w:val="0"/>
                <w:sz w:val="20"/>
                <w:szCs w:val="20"/>
              </w:rPr>
              <w:t>~</w:t>
            </w:r>
            <w:r>
              <w:rPr>
                <w:rFonts w:hint="eastAsia" w:ascii="宋体" w:hAnsi="宋体" w:cs="宋体"/>
                <w:kern w:val="0"/>
                <w:sz w:val="20"/>
                <w:szCs w:val="20"/>
              </w:rPr>
              <w:t>1分</w:t>
            </w:r>
          </w:p>
          <w:p>
            <w:pPr>
              <w:widowControl/>
              <w:jc w:val="left"/>
              <w:rPr>
                <w:rFonts w:ascii="宋体" w:hAnsi="宋体" w:cs="宋体"/>
                <w:kern w:val="0"/>
                <w:sz w:val="20"/>
                <w:szCs w:val="20"/>
              </w:rPr>
            </w:pPr>
            <w:r>
              <w:rPr>
                <w:rFonts w:hint="eastAsia" w:ascii="宋体" w:hAnsi="宋体" w:cs="宋体"/>
                <w:kern w:val="0"/>
                <w:sz w:val="20"/>
                <w:szCs w:val="20"/>
              </w:rPr>
              <w:t>2.质量管理认证证书应在有效期内</w:t>
            </w:r>
          </w:p>
        </w:tc>
        <w:tc>
          <w:tcPr>
            <w:tcW w:w="23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6" w:type="dxa"/>
          <w:trHeight w:val="931"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2.2.2                         造价咨询业务成果文件档案管理</w:t>
            </w: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有专用档案室和专职档案管理员，每项得1分</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2</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专用档案室照片、专职档案员聘任合同或聘任协议</w:t>
            </w:r>
          </w:p>
        </w:tc>
        <w:tc>
          <w:tcPr>
            <w:tcW w:w="233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6" w:type="dxa"/>
          <w:trHeight w:val="1569"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档案室中至少保存前五年完整的档案，得1分</w:t>
            </w:r>
          </w:p>
          <w:p>
            <w:pPr>
              <w:widowControl/>
              <w:jc w:val="left"/>
              <w:rPr>
                <w:rFonts w:ascii="宋体" w:hAnsi="宋体" w:cs="宋体"/>
                <w:kern w:val="0"/>
                <w:sz w:val="20"/>
                <w:szCs w:val="20"/>
              </w:rPr>
            </w:pPr>
            <w:r>
              <w:rPr>
                <w:rFonts w:hint="eastAsia" w:ascii="宋体" w:hAnsi="宋体" w:cs="宋体"/>
                <w:kern w:val="0"/>
                <w:sz w:val="20"/>
                <w:szCs w:val="20"/>
              </w:rPr>
              <w:t>无档案台账扣1分，台账不完整，扣0.5分</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1</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1</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咨询项目登记表、档案台账和档案三者比对</w:t>
            </w:r>
          </w:p>
        </w:tc>
        <w:tc>
          <w:tcPr>
            <w:tcW w:w="23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6" w:type="dxa"/>
          <w:trHeight w:val="129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p>
            <w:pPr>
              <w:widowControl/>
              <w:jc w:val="center"/>
              <w:rPr>
                <w:rFonts w:ascii="宋体" w:hAnsi="宋体" w:cs="宋体"/>
                <w:kern w:val="0"/>
                <w:sz w:val="20"/>
                <w:szCs w:val="20"/>
              </w:rPr>
            </w:pPr>
            <w:r>
              <w:rPr>
                <w:rFonts w:hint="eastAsia" w:ascii="宋体" w:hAnsi="宋体" w:cs="宋体"/>
                <w:kern w:val="0"/>
                <w:sz w:val="20"/>
                <w:szCs w:val="20"/>
              </w:rPr>
              <w:t>经营    管理</w:t>
            </w:r>
          </w:p>
        </w:tc>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2.3</w:t>
            </w:r>
          </w:p>
          <w:p>
            <w:pPr>
              <w:widowControl/>
              <w:jc w:val="center"/>
              <w:rPr>
                <w:rFonts w:ascii="宋体" w:hAnsi="宋体" w:cs="宋体"/>
                <w:kern w:val="0"/>
                <w:sz w:val="20"/>
                <w:szCs w:val="20"/>
              </w:rPr>
            </w:pPr>
            <w:r>
              <w:rPr>
                <w:rFonts w:hint="eastAsia" w:ascii="宋体" w:hAnsi="宋体" w:cs="宋体"/>
                <w:kern w:val="0"/>
                <w:sz w:val="20"/>
                <w:szCs w:val="20"/>
              </w:rPr>
              <w:t>教育</w:t>
            </w:r>
          </w:p>
          <w:p>
            <w:pPr>
              <w:widowControl/>
              <w:jc w:val="center"/>
              <w:rPr>
                <w:rFonts w:ascii="宋体" w:hAnsi="宋体" w:cs="宋体"/>
                <w:kern w:val="0"/>
                <w:sz w:val="20"/>
                <w:szCs w:val="20"/>
              </w:rPr>
            </w:pPr>
            <w:r>
              <w:rPr>
                <w:rFonts w:hint="eastAsia" w:ascii="宋体" w:hAnsi="宋体" w:cs="宋体"/>
                <w:kern w:val="0"/>
                <w:sz w:val="20"/>
                <w:szCs w:val="20"/>
              </w:rPr>
              <w:t xml:space="preserve">培训                       </w:t>
            </w:r>
          </w:p>
        </w:tc>
        <w:tc>
          <w:tcPr>
            <w:tcW w:w="11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2.3.1                          业务培训等</w:t>
            </w: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企业员工参加业务培训的，每次得0.3分（不含注册造价工程师资格延续需要的继续教育）</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0.3*X</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3</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1.“X”为企业造价咨询从业人员上一年度参加工程造价相关业务培训的次数</w:t>
            </w:r>
            <w:r>
              <w:rPr>
                <w:rFonts w:hint="eastAsia" w:ascii="宋体" w:hAnsi="宋体" w:cs="宋体"/>
                <w:kern w:val="0"/>
                <w:sz w:val="20"/>
                <w:szCs w:val="20"/>
              </w:rPr>
              <w:br w:type="textWrapping"/>
            </w:r>
            <w:r>
              <w:rPr>
                <w:rFonts w:hint="eastAsia" w:ascii="宋体" w:hAnsi="宋体" w:cs="宋体"/>
                <w:kern w:val="0"/>
                <w:sz w:val="20"/>
                <w:szCs w:val="20"/>
              </w:rPr>
              <w:t>2.可以是外部机构组织的，也可以是企业自行组织的培训</w:t>
            </w: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6" w:type="dxa"/>
          <w:trHeight w:val="967"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2.3.2</w:t>
            </w:r>
          </w:p>
          <w:p>
            <w:pPr>
              <w:widowControl/>
              <w:jc w:val="center"/>
              <w:rPr>
                <w:rFonts w:ascii="宋体" w:hAnsi="宋体" w:cs="宋体"/>
                <w:kern w:val="0"/>
                <w:sz w:val="20"/>
                <w:szCs w:val="20"/>
              </w:rPr>
            </w:pPr>
            <w:r>
              <w:rPr>
                <w:rFonts w:hint="eastAsia" w:ascii="宋体" w:hAnsi="宋体" w:cs="宋体"/>
                <w:kern w:val="0"/>
                <w:sz w:val="20"/>
                <w:szCs w:val="20"/>
              </w:rPr>
              <w:t xml:space="preserve">廉洁教育 </w:t>
            </w: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对员工进行廉洁教育或组织参观廉政教育基地</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2</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企业上一年度对员工进行廉洁教育或组织参观廉政教育基地</w:t>
            </w: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6" w:type="dxa"/>
          <w:trHeight w:val="1407"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2.4</w:t>
            </w:r>
          </w:p>
          <w:p>
            <w:pPr>
              <w:widowControl/>
              <w:jc w:val="center"/>
              <w:rPr>
                <w:rFonts w:ascii="宋体" w:hAnsi="宋体" w:cs="宋体"/>
                <w:kern w:val="0"/>
                <w:sz w:val="20"/>
                <w:szCs w:val="20"/>
              </w:rPr>
            </w:pPr>
            <w:r>
              <w:rPr>
                <w:rFonts w:hint="eastAsia" w:ascii="宋体" w:hAnsi="宋体" w:cs="宋体"/>
                <w:kern w:val="0"/>
                <w:sz w:val="20"/>
                <w:szCs w:val="20"/>
              </w:rPr>
              <w:t>信息化</w:t>
            </w:r>
          </w:p>
        </w:tc>
        <w:tc>
          <w:tcPr>
            <w:tcW w:w="11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2.4.1                  对外平台</w:t>
            </w: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企业自建网站或公众号</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2</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网站及公众号应正常更新</w:t>
            </w: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6" w:type="dxa"/>
          <w:trHeight w:val="3528"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2.4</w:t>
            </w:r>
          </w:p>
          <w:p>
            <w:pPr>
              <w:widowControl/>
              <w:jc w:val="center"/>
              <w:rPr>
                <w:rFonts w:ascii="宋体" w:hAnsi="宋体" w:cs="宋体"/>
                <w:kern w:val="0"/>
                <w:sz w:val="20"/>
                <w:szCs w:val="20"/>
              </w:rPr>
            </w:pPr>
            <w:r>
              <w:rPr>
                <w:rFonts w:hint="eastAsia" w:ascii="宋体" w:hAnsi="宋体" w:cs="宋体"/>
                <w:kern w:val="0"/>
                <w:sz w:val="20"/>
                <w:szCs w:val="20"/>
              </w:rPr>
              <w:t>信息化</w:t>
            </w:r>
          </w:p>
        </w:tc>
        <w:tc>
          <w:tcPr>
            <w:tcW w:w="11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2.4.2                 办公自动化及企业业务管理系统</w:t>
            </w: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企业投用办公自动化系统，运行正常，得1分</w:t>
            </w:r>
          </w:p>
          <w:p>
            <w:pPr>
              <w:widowControl/>
              <w:jc w:val="left"/>
              <w:rPr>
                <w:rFonts w:ascii="宋体" w:hAnsi="宋体" w:cs="宋体"/>
                <w:kern w:val="0"/>
                <w:sz w:val="20"/>
                <w:szCs w:val="20"/>
              </w:rPr>
            </w:pPr>
            <w:r>
              <w:rPr>
                <w:rFonts w:hint="eastAsia" w:ascii="宋体" w:hAnsi="宋体" w:cs="宋体"/>
                <w:kern w:val="0"/>
                <w:sz w:val="20"/>
                <w:szCs w:val="20"/>
              </w:rPr>
              <w:t>具有咨询业务管理系统并使用正常，得1</w:t>
            </w:r>
            <w:r>
              <w:rPr>
                <w:rFonts w:hint="eastAsia" w:ascii="等线 Light" w:hAnsi="等线 Light" w:eastAsia="等线 Light" w:cs="宋体"/>
                <w:kern w:val="0"/>
                <w:sz w:val="20"/>
                <w:szCs w:val="20"/>
              </w:rPr>
              <w:t>~</w:t>
            </w:r>
            <w:r>
              <w:rPr>
                <w:rFonts w:hint="eastAsia" w:ascii="宋体" w:hAnsi="宋体" w:cs="宋体"/>
                <w:kern w:val="0"/>
                <w:sz w:val="20"/>
                <w:szCs w:val="20"/>
              </w:rPr>
              <w:t>3分</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0~4</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4</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1.业务系统能实现基本业务流程、成果文件系统的集成的，得1分</w:t>
            </w:r>
          </w:p>
          <w:p>
            <w:pPr>
              <w:widowControl/>
              <w:jc w:val="left"/>
              <w:rPr>
                <w:rFonts w:ascii="宋体" w:hAnsi="宋体" w:cs="宋体"/>
                <w:kern w:val="0"/>
                <w:sz w:val="20"/>
                <w:szCs w:val="20"/>
              </w:rPr>
            </w:pPr>
            <w:r>
              <w:rPr>
                <w:rFonts w:hint="eastAsia" w:ascii="宋体" w:hAnsi="宋体" w:cs="宋体"/>
                <w:kern w:val="0"/>
                <w:sz w:val="20"/>
                <w:szCs w:val="20"/>
              </w:rPr>
              <w:t>2.除实现1中基本功能外，还能够协助企业进行任务分配、绩效评价等等造价咨询业务管理的，得2分</w:t>
            </w:r>
          </w:p>
          <w:p>
            <w:pPr>
              <w:widowControl/>
              <w:jc w:val="left"/>
              <w:rPr>
                <w:rFonts w:ascii="宋体" w:hAnsi="宋体" w:cs="宋体"/>
                <w:kern w:val="0"/>
                <w:sz w:val="20"/>
                <w:szCs w:val="20"/>
              </w:rPr>
            </w:pPr>
            <w:r>
              <w:rPr>
                <w:rFonts w:hint="eastAsia" w:ascii="宋体" w:hAnsi="宋体" w:cs="宋体"/>
                <w:kern w:val="0"/>
                <w:sz w:val="20"/>
                <w:szCs w:val="20"/>
              </w:rPr>
              <w:t>3.能够满足客户管理、合同管理、业务流程管理、档案管理、绩效统计、成本管控等多种业务流的集成，得3分</w:t>
            </w:r>
          </w:p>
        </w:tc>
        <w:tc>
          <w:tcPr>
            <w:tcW w:w="233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6" w:type="dxa"/>
          <w:trHeight w:val="169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2.4.3                 已完工程数据库</w:t>
            </w: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企业已完工程数据库(指标库、材料价格库等)建立完善并投入应用，每项得1.5分</w:t>
            </w:r>
          </w:p>
        </w:tc>
        <w:tc>
          <w:tcPr>
            <w:tcW w:w="12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Arial Narrow" w:hAnsi="Arial Narrow" w:cs="宋体"/>
                <w:kern w:val="0"/>
                <w:sz w:val="20"/>
                <w:szCs w:val="20"/>
              </w:rPr>
            </w:pPr>
            <w:r>
              <w:rPr>
                <w:rFonts w:ascii="Arial Narrow" w:hAnsi="Arial Narrow" w:cs="宋体"/>
                <w:kern w:val="0"/>
                <w:sz w:val="20"/>
                <w:szCs w:val="20"/>
              </w:rPr>
              <w:t>1.5*X</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3</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1.“X”指指标库或材料价格库等数据库</w:t>
            </w:r>
          </w:p>
          <w:p>
            <w:pPr>
              <w:widowControl/>
              <w:jc w:val="left"/>
              <w:rPr>
                <w:rFonts w:ascii="宋体" w:hAnsi="宋体" w:cs="宋体"/>
                <w:kern w:val="0"/>
                <w:sz w:val="20"/>
                <w:szCs w:val="20"/>
              </w:rPr>
            </w:pPr>
            <w:r>
              <w:rPr>
                <w:rFonts w:hint="eastAsia" w:ascii="宋体" w:hAnsi="宋体" w:cs="宋体"/>
                <w:kern w:val="0"/>
                <w:sz w:val="20"/>
                <w:szCs w:val="20"/>
              </w:rPr>
              <w:t>2.已完项目已录入数据库系统中或有已完项目的数据统计指标</w:t>
            </w:r>
          </w:p>
        </w:tc>
        <w:tc>
          <w:tcPr>
            <w:tcW w:w="23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6" w:type="dxa"/>
          <w:trHeight w:val="993"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2.5                     文化建设与社会责任</w:t>
            </w:r>
          </w:p>
        </w:tc>
        <w:tc>
          <w:tcPr>
            <w:tcW w:w="11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2.5.1</w:t>
            </w:r>
            <w:r>
              <w:rPr>
                <w:rFonts w:hint="eastAsia" w:ascii="宋体" w:hAnsi="宋体" w:cs="宋体"/>
                <w:kern w:val="0"/>
                <w:sz w:val="20"/>
                <w:szCs w:val="20"/>
              </w:rPr>
              <w:br w:type="textWrapping"/>
            </w:r>
            <w:r>
              <w:rPr>
                <w:rFonts w:hint="eastAsia" w:ascii="宋体" w:hAnsi="宋体" w:cs="宋体"/>
                <w:kern w:val="0"/>
                <w:sz w:val="20"/>
                <w:szCs w:val="20"/>
              </w:rPr>
              <w:t>文化建设</w:t>
            </w: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企业积极举办或参与造价协会举办的精神文明、文化建设等活动，每次得0.2分</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0.2*X</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1</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“X”为举办或参加活动的次数</w:t>
            </w: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6" w:type="dxa"/>
          <w:trHeight w:val="1122"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2.5.2</w:t>
            </w:r>
            <w:r>
              <w:rPr>
                <w:rFonts w:hint="eastAsia" w:ascii="宋体" w:hAnsi="宋体" w:cs="宋体"/>
                <w:kern w:val="0"/>
                <w:sz w:val="20"/>
                <w:szCs w:val="20"/>
              </w:rPr>
              <w:br w:type="textWrapping"/>
            </w:r>
            <w:r>
              <w:rPr>
                <w:rFonts w:hint="eastAsia" w:ascii="宋体" w:hAnsi="宋体" w:cs="宋体"/>
                <w:kern w:val="0"/>
                <w:sz w:val="20"/>
                <w:szCs w:val="20"/>
              </w:rPr>
              <w:t xml:space="preserve">企业纳税信用等级                       </w:t>
            </w: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企业纳税信用等级为A的得2分，为B的得1分</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2</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正常纳税企业，税务机关每年4月会确定上一年度纳税评价结果</w:t>
            </w: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6" w:type="dxa"/>
          <w:trHeight w:val="1393"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3.各地自主评分或自定义评分项</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3.1</w:t>
            </w:r>
            <w:r>
              <w:rPr>
                <w:rFonts w:hint="eastAsia" w:ascii="宋体" w:hAnsi="宋体" w:cs="宋体"/>
                <w:kern w:val="0"/>
                <w:sz w:val="20"/>
                <w:szCs w:val="20"/>
              </w:rPr>
              <w:br w:type="textWrapping"/>
            </w:r>
            <w:r>
              <w:rPr>
                <w:rFonts w:hint="eastAsia" w:ascii="宋体" w:hAnsi="宋体" w:cs="宋体"/>
                <w:kern w:val="0"/>
                <w:sz w:val="20"/>
                <w:szCs w:val="20"/>
              </w:rPr>
              <w:t>社会评价</w:t>
            </w:r>
          </w:p>
        </w:tc>
        <w:tc>
          <w:tcPr>
            <w:tcW w:w="11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3.1.1</w:t>
            </w:r>
          </w:p>
          <w:p>
            <w:pPr>
              <w:widowControl/>
              <w:jc w:val="center"/>
              <w:rPr>
                <w:rFonts w:ascii="宋体" w:hAnsi="宋体" w:cs="宋体"/>
                <w:kern w:val="0"/>
                <w:sz w:val="20"/>
                <w:szCs w:val="20"/>
              </w:rPr>
            </w:pPr>
            <w:r>
              <w:rPr>
                <w:rFonts w:hint="eastAsia" w:ascii="宋体" w:hAnsi="宋体" w:cs="宋体"/>
                <w:kern w:val="0"/>
                <w:sz w:val="20"/>
                <w:szCs w:val="20"/>
              </w:rPr>
              <w:t>客户对企业的评价</w:t>
            </w: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企业有客户签署的满意度评价表，每有一项加0.5分，累计4分，不提供不得分</w:t>
            </w:r>
          </w:p>
        </w:tc>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1*X1</w:t>
            </w:r>
          </w:p>
        </w:tc>
        <w:tc>
          <w:tcPr>
            <w:tcW w:w="84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20</w:t>
            </w: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Narrow" w:hAnsi="Arial Narrow" w:cs="宋体"/>
                <w:color w:val="000000"/>
                <w:kern w:val="0"/>
                <w:sz w:val="22"/>
              </w:rPr>
            </w:pPr>
            <w:r>
              <w:rPr>
                <w:rFonts w:ascii="Arial Narrow" w:hAnsi="Arial Narrow" w:cs="宋体"/>
                <w:color w:val="000000"/>
                <w:kern w:val="0"/>
                <w:sz w:val="22"/>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X1指客户的满意度评价表数。企业提供的满意度评价表单项造价500万元及以上</w:t>
            </w: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6" w:type="dxa"/>
          <w:trHeight w:val="1275"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成果质量</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3.2.1</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造价咨询业务流程管理</w:t>
            </w: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各申报企业提供</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1.有三级复核表的每个项目加0.5分，最多得4分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2.三级复核表单上签章或日期不全每处扣0.25分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3.三级审核意见不详细或没有针对性的每处减0.25分</w:t>
            </w:r>
          </w:p>
        </w:tc>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FF0000"/>
                <w:kern w:val="0"/>
                <w:sz w:val="22"/>
              </w:rPr>
            </w:pPr>
            <w:r>
              <w:rPr>
                <w:rFonts w:hint="eastAsia" w:ascii="宋体" w:hAnsi="宋体" w:cs="宋体"/>
                <w:color w:val="FF0000"/>
                <w:kern w:val="0"/>
                <w:sz w:val="22"/>
              </w:rPr>
              <w:t>　</w:t>
            </w: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20"/>
                <w:szCs w:val="20"/>
              </w:rPr>
            </w:pP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Narrow" w:hAnsi="Arial Narrow" w:cs="宋体"/>
                <w:color w:val="000000"/>
                <w:kern w:val="0"/>
                <w:sz w:val="22"/>
              </w:rPr>
            </w:pPr>
            <w:r>
              <w:rPr>
                <w:rFonts w:ascii="Arial Narrow" w:hAnsi="Arial Narrow" w:cs="宋体"/>
                <w:color w:val="000000"/>
                <w:kern w:val="0"/>
                <w:sz w:val="22"/>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6" w:type="dxa"/>
          <w:trHeight w:val="848"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3.2.2</w:t>
            </w:r>
            <w:r>
              <w:rPr>
                <w:rFonts w:hint="eastAsia" w:ascii="宋体" w:hAnsi="宋体" w:cs="宋体"/>
                <w:kern w:val="0"/>
                <w:sz w:val="20"/>
                <w:szCs w:val="20"/>
              </w:rPr>
              <w:br w:type="textWrapping"/>
            </w:r>
            <w:r>
              <w:rPr>
                <w:rFonts w:hint="eastAsia" w:ascii="宋体" w:hAnsi="宋体" w:cs="宋体"/>
                <w:kern w:val="0"/>
                <w:sz w:val="20"/>
                <w:szCs w:val="20"/>
              </w:rPr>
              <w:t>造价咨询业务成果质量情况</w:t>
            </w:r>
          </w:p>
        </w:tc>
        <w:tc>
          <w:tcPr>
            <w:tcW w:w="2885"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咨询成果质量：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1.计价程序或取费基数错误的，每处减0.1分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2.定额套用或组价错误的，每处减0.1分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3.管理费或利润计取错误的，每处减0.1分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4.措施项目费计取错误或无依据的，每处减0.1分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5.规费计取错误的，每处减0.1分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6.税率错误的减0.1分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7.咨询报告书、审定单、汇总表、成果内容封面、质量控制流程单等资料数据、日期对应关系错误，每一处减0.1分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8.计价方式与施工合同约定不符，每个单位工程减0.1分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9.人工费应调差而未调的或人工费调差错误的，减0.1分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10.无编制说明的减0.1分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11.项目特征未按规范要求详</w:t>
            </w:r>
            <w:bookmarkStart w:id="0" w:name="_GoBack"/>
            <w:bookmarkEnd w:id="0"/>
            <w:r>
              <w:rPr>
                <w:rFonts w:hint="eastAsia" w:ascii="宋体" w:hAnsi="宋体" w:cs="宋体"/>
                <w:color w:val="000000"/>
                <w:kern w:val="0"/>
                <w:sz w:val="20"/>
                <w:szCs w:val="20"/>
              </w:rPr>
              <w:t>细描述的每项减0.1分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最多扣5分</w:t>
            </w:r>
          </w:p>
        </w:tc>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20"/>
                <w:szCs w:val="20"/>
              </w:rPr>
            </w:pPr>
          </w:p>
        </w:tc>
        <w:tc>
          <w:tcPr>
            <w:tcW w:w="5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Narrow" w:hAnsi="Arial Narrow" w:cs="宋体"/>
                <w:color w:val="000000"/>
                <w:kern w:val="0"/>
                <w:sz w:val="22"/>
              </w:rPr>
            </w:pPr>
            <w:r>
              <w:rPr>
                <w:rFonts w:ascii="Arial Narrow" w:hAnsi="Arial Narrow" w:cs="宋体"/>
                <w:color w:val="000000"/>
                <w:kern w:val="0"/>
                <w:sz w:val="22"/>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98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随机抽取评价期内每年1个政府投资项目，原则上项目规模1000万元以上，项目类型包括土建、安装、装饰、市政等至少两种，咨询类型包括结算审核、工程量清单及招标控制价编制等。</w:t>
            </w: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6" w:type="dxa"/>
          <w:trHeight w:val="1440"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报告书内容准确、完整、规范   得1分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咨询报告书中工程概况、审核范围、审核依据、送审工程结算金额、审定金额、核减（增）金额及其主要原因、应披露的重大事项未表述齐全的，每缺一项减0.1分；最多扣1分</w:t>
            </w:r>
          </w:p>
        </w:tc>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20"/>
                <w:szCs w:val="20"/>
              </w:rPr>
            </w:pPr>
          </w:p>
        </w:tc>
        <w:tc>
          <w:tcPr>
            <w:tcW w:w="5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Narrow" w:hAnsi="Arial Narrow" w:cs="宋体"/>
                <w:color w:val="000000"/>
                <w:kern w:val="0"/>
                <w:sz w:val="22"/>
              </w:rPr>
            </w:pPr>
            <w:r>
              <w:rPr>
                <w:rFonts w:ascii="Arial Narrow" w:hAnsi="Arial Narrow" w:cs="宋体"/>
                <w:color w:val="000000"/>
                <w:kern w:val="0"/>
                <w:sz w:val="22"/>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98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6" w:type="dxa"/>
          <w:trHeight w:val="1273"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报告书签章齐全正确得1分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1.报告书扉页未盖企业及执业专用章，每个项目扣0.2分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2.报告书落款必须有项目负责人签字、盖执业资格章，单位盖公章，每缺1项扣0.2分；最多扣0.6分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3.工程结算审定单必须有各方盖章，每缺一项减0.2分             </w:t>
            </w:r>
          </w:p>
        </w:tc>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20"/>
                <w:szCs w:val="20"/>
              </w:rPr>
            </w:pPr>
          </w:p>
        </w:tc>
        <w:tc>
          <w:tcPr>
            <w:tcW w:w="59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Narrow" w:hAnsi="Arial Narrow" w:cs="宋体"/>
                <w:color w:val="000000"/>
                <w:kern w:val="0"/>
                <w:sz w:val="22"/>
              </w:rPr>
            </w:pPr>
            <w:r>
              <w:rPr>
                <w:rFonts w:ascii="Arial Narrow" w:hAnsi="Arial Narrow" w:cs="宋体"/>
                <w:color w:val="000000"/>
                <w:kern w:val="0"/>
                <w:sz w:val="22"/>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98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6" w:type="dxa"/>
          <w:trHeight w:val="1685"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其它</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3.3.1</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省自定义</w:t>
            </w:r>
          </w:p>
        </w:tc>
        <w:tc>
          <w:tcPr>
            <w:tcW w:w="2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1.企业提供有效期范围内营业执照且无不良记录得1分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2.办公场所≥300平方米，得1分，小于300平方米得0.5分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3.企业是一般纳税人得1分，小规模纳税人得0.5分。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4.为企业员工缴纳社保和公积金的得1分，只缴纳社保得0.5分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5.企业开展创新性咨询工作（如全过程工程咨询、PPP咨询、造价鉴定咨询、BIM咨询等）得1分</w:t>
            </w:r>
          </w:p>
        </w:tc>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cs="宋体"/>
                <w:kern w:val="0"/>
                <w:sz w:val="20"/>
                <w:szCs w:val="20"/>
              </w:rPr>
            </w:pPr>
          </w:p>
        </w:tc>
        <w:tc>
          <w:tcPr>
            <w:tcW w:w="5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Narrow" w:hAnsi="Arial Narrow" w:cs="宋体"/>
                <w:color w:val="000000"/>
                <w:kern w:val="0"/>
                <w:sz w:val="22"/>
              </w:rPr>
            </w:pPr>
            <w:r>
              <w:rPr>
                <w:rFonts w:ascii="Arial Narrow" w:hAnsi="Arial Narrow" w:cs="宋体"/>
                <w:color w:val="000000"/>
                <w:kern w:val="0"/>
                <w:sz w:val="22"/>
              </w:rPr>
              <w:t>　</w:t>
            </w: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6" w:type="dxa"/>
          <w:trHeight w:val="112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4.良好行为和不良行为</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4.1</w:t>
            </w:r>
            <w:r>
              <w:rPr>
                <w:rFonts w:hint="eastAsia" w:ascii="宋体" w:hAnsi="宋体" w:cs="宋体"/>
                <w:kern w:val="0"/>
                <w:sz w:val="20"/>
                <w:szCs w:val="20"/>
              </w:rPr>
              <w:br w:type="textWrapping"/>
            </w:r>
            <w:r>
              <w:rPr>
                <w:rFonts w:hint="eastAsia" w:ascii="宋体" w:hAnsi="宋体" w:cs="宋体"/>
                <w:kern w:val="0"/>
                <w:sz w:val="20"/>
                <w:szCs w:val="20"/>
              </w:rPr>
              <w:t>良好行为加分</w:t>
            </w:r>
          </w:p>
        </w:tc>
        <w:tc>
          <w:tcPr>
            <w:tcW w:w="11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4.1.1</w:t>
            </w:r>
            <w:r>
              <w:rPr>
                <w:rFonts w:hint="eastAsia" w:ascii="宋体" w:hAnsi="宋体" w:cs="宋体"/>
                <w:kern w:val="0"/>
                <w:sz w:val="20"/>
                <w:szCs w:val="20"/>
              </w:rPr>
              <w:br w:type="textWrapping"/>
            </w:r>
            <w:r>
              <w:rPr>
                <w:rFonts w:hint="eastAsia" w:ascii="宋体" w:hAnsi="宋体" w:cs="宋体"/>
                <w:kern w:val="0"/>
                <w:sz w:val="20"/>
                <w:szCs w:val="20"/>
              </w:rPr>
              <w:t>良好行为</w:t>
            </w: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见良好行为加分表（附件3）</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10</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最高得分限10分</w:t>
            </w: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6" w:type="dxa"/>
          <w:trHeight w:val="1129"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4.2</w:t>
            </w:r>
          </w:p>
          <w:p>
            <w:pPr>
              <w:widowControl/>
              <w:jc w:val="center"/>
              <w:rPr>
                <w:rFonts w:ascii="宋体" w:hAnsi="宋体" w:cs="宋体"/>
                <w:kern w:val="0"/>
                <w:sz w:val="20"/>
                <w:szCs w:val="20"/>
              </w:rPr>
            </w:pPr>
            <w:r>
              <w:rPr>
                <w:rFonts w:hint="eastAsia" w:ascii="宋体" w:hAnsi="宋体" w:cs="宋体"/>
                <w:kern w:val="0"/>
                <w:sz w:val="20"/>
                <w:szCs w:val="20"/>
              </w:rPr>
              <w:t>不良行为扣分</w:t>
            </w:r>
          </w:p>
        </w:tc>
        <w:tc>
          <w:tcPr>
            <w:tcW w:w="11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4.2.1</w:t>
            </w:r>
            <w:r>
              <w:rPr>
                <w:rFonts w:hint="eastAsia" w:ascii="宋体" w:hAnsi="宋体" w:cs="宋体"/>
                <w:kern w:val="0"/>
                <w:sz w:val="20"/>
                <w:szCs w:val="20"/>
              </w:rPr>
              <w:br w:type="textWrapping"/>
            </w:r>
            <w:r>
              <w:rPr>
                <w:rFonts w:hint="eastAsia" w:ascii="宋体" w:hAnsi="宋体" w:cs="宋体"/>
                <w:kern w:val="0"/>
                <w:sz w:val="20"/>
                <w:szCs w:val="20"/>
              </w:rPr>
              <w:t>不良行为</w:t>
            </w:r>
          </w:p>
        </w:tc>
        <w:tc>
          <w:tcPr>
            <w:tcW w:w="28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见不良行为扣分表（附件4）</w:t>
            </w:r>
          </w:p>
        </w:tc>
        <w:tc>
          <w:tcPr>
            <w:tcW w:w="12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Narrow" w:hAnsi="Arial Narrow" w:cs="宋体"/>
                <w:kern w:val="0"/>
                <w:sz w:val="20"/>
                <w:szCs w:val="20"/>
              </w:rPr>
            </w:pPr>
            <w:r>
              <w:rPr>
                <w:rFonts w:ascii="Arial Narrow" w:hAnsi="Arial Narrow" w:cs="宋体"/>
                <w:kern w:val="0"/>
                <w:sz w:val="20"/>
                <w:szCs w:val="20"/>
              </w:rPr>
              <w:t>　</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0"/>
                <w:szCs w:val="20"/>
              </w:rPr>
            </w:pPr>
            <w:r>
              <w:rPr>
                <w:rFonts w:ascii="Arial Narrow" w:hAnsi="Arial Narrow" w:cs="宋体"/>
                <w:kern w:val="0"/>
                <w:sz w:val="20"/>
                <w:szCs w:val="20"/>
              </w:rPr>
              <w:t>　</w:t>
            </w:r>
          </w:p>
        </w:tc>
        <w:tc>
          <w:tcPr>
            <w:tcW w:w="8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98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最高减分不限</w:t>
            </w:r>
          </w:p>
        </w:tc>
        <w:tc>
          <w:tcPr>
            <w:tcW w:w="23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2"/>
          <w:wAfter w:w="21" w:type="dxa"/>
          <w:trHeight w:val="570" w:hRule="atLeast"/>
        </w:trPr>
        <w:tc>
          <w:tcPr>
            <w:tcW w:w="6783"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合     计</w:t>
            </w:r>
          </w:p>
        </w:tc>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Narrow" w:hAnsi="Arial Narrow" w:cs="宋体"/>
                <w:kern w:val="0"/>
                <w:sz w:val="24"/>
                <w:szCs w:val="24"/>
              </w:rPr>
            </w:pPr>
            <w:r>
              <w:rPr>
                <w:rFonts w:ascii="Arial Narrow" w:hAnsi="Arial Narrow" w:cs="宋体"/>
                <w:kern w:val="0"/>
                <w:sz w:val="24"/>
                <w:szCs w:val="24"/>
              </w:rPr>
              <w:t>100</w:t>
            </w:r>
          </w:p>
        </w:tc>
        <w:tc>
          <w:tcPr>
            <w:tcW w:w="5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9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18" w:hRule="atLeast"/>
        </w:trPr>
        <w:tc>
          <w:tcPr>
            <w:tcW w:w="708" w:type="dxa"/>
            <w:tcBorders>
              <w:top w:val="nil"/>
              <w:left w:val="nil"/>
              <w:bottom w:val="nil"/>
              <w:right w:val="nil"/>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　</w:t>
            </w:r>
          </w:p>
        </w:tc>
        <w:tc>
          <w:tcPr>
            <w:tcW w:w="14532" w:type="dxa"/>
            <w:gridSpan w:val="13"/>
            <w:tcBorders>
              <w:top w:val="nil"/>
              <w:left w:val="nil"/>
              <w:bottom w:val="nil"/>
              <w:right w:val="nil"/>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293" w:hRule="atLeast"/>
        </w:trPr>
        <w:tc>
          <w:tcPr>
            <w:tcW w:w="15240" w:type="dxa"/>
            <w:gridSpan w:val="14"/>
            <w:tcBorders>
              <w:top w:val="nil"/>
              <w:left w:val="nil"/>
              <w:bottom w:val="nil"/>
              <w:right w:val="nil"/>
            </w:tcBorders>
            <w:shd w:val="clear" w:color="000000" w:fill="FFFFFF"/>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注： 1、数据来源栏没有说明的，均为“企业填报相关信息，准备相关材料备查，接受社会监督”；</w:t>
            </w:r>
          </w:p>
        </w:tc>
      </w:tr>
      <w:tr>
        <w:tblPrEx>
          <w:tblCellMar>
            <w:top w:w="0" w:type="dxa"/>
            <w:left w:w="108" w:type="dxa"/>
            <w:bottom w:w="0" w:type="dxa"/>
            <w:right w:w="108" w:type="dxa"/>
          </w:tblCellMar>
        </w:tblPrEx>
        <w:trPr>
          <w:trHeight w:val="443" w:hRule="atLeast"/>
        </w:trPr>
        <w:tc>
          <w:tcPr>
            <w:tcW w:w="15240" w:type="dxa"/>
            <w:gridSpan w:val="14"/>
            <w:tcBorders>
              <w:top w:val="nil"/>
              <w:left w:val="nil"/>
              <w:bottom w:val="nil"/>
              <w:right w:val="nil"/>
            </w:tcBorders>
            <w:shd w:val="clear" w:color="000000" w:fill="FFFFFF"/>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xml:space="preserve">     2、得分合计100分，所有得分小数点后保留2位。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A6C26"/>
    <w:rsid w:val="73EA6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2020-10-12T08:40:00Z</dcterms:created>
  <dc:creator>Administrator</dc:creator>
  <cp:lastModifiedBy>Administrator</cp:lastModifiedBy>
  <dcterms:modified xsi:type="dcterms:W3CDTF">2020-10-12T08:43:32Z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